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99F1" w14:textId="098A4DC2" w:rsidR="00C30D80" w:rsidRPr="00E161EA" w:rsidRDefault="0032489D" w:rsidP="006030B1">
      <w:bookmarkStart w:id="0" w:name="_GoBack"/>
      <w:bookmarkEnd w:id="0"/>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4A1898F9">
                <wp:simplePos x="0" y="0"/>
                <wp:positionH relativeFrom="column">
                  <wp:posOffset>4445</wp:posOffset>
                </wp:positionH>
                <wp:positionV relativeFrom="paragraph">
                  <wp:posOffset>231775</wp:posOffset>
                </wp:positionV>
                <wp:extent cx="6248400" cy="124777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47775"/>
                        </a:xfrm>
                        <a:prstGeom prst="rect">
                          <a:avLst/>
                        </a:prstGeom>
                        <a:solidFill>
                          <a:srgbClr val="FFFFFF"/>
                        </a:solidFill>
                        <a:ln w="38100" cmpd="dbl">
                          <a:solidFill>
                            <a:srgbClr val="000000"/>
                          </a:solidFill>
                          <a:miter lim="800000"/>
                          <a:headEnd/>
                          <a:tailEnd/>
                        </a:ln>
                      </wps:spPr>
                      <wps:txbx>
                        <w:txbxContent>
                          <w:p w14:paraId="3EC1AC15" w14:textId="77777777" w:rsidR="00E1695C" w:rsidRDefault="00E1695C"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E1695C" w:rsidRPr="002D265F" w:rsidRDefault="00E1695C" w:rsidP="0032489D">
                            <w:pPr>
                              <w:jc w:val="center"/>
                              <w:rPr>
                                <w:color w:val="FF0000"/>
                                <w:sz w:val="16"/>
                                <w:szCs w:val="16"/>
                              </w:rPr>
                            </w:pPr>
                          </w:p>
                          <w:p w14:paraId="183DCB08" w14:textId="3F9C7791" w:rsidR="00E1695C" w:rsidRPr="007029F6" w:rsidRDefault="00E1695C" w:rsidP="00B11781">
                            <w:pPr>
                              <w:shd w:val="clear" w:color="auto" w:fill="FFFFFF"/>
                              <w:jc w:val="center"/>
                            </w:pPr>
                            <w:r w:rsidRPr="007029F6">
                              <w:t xml:space="preserve">Administration of typhoid Vi polysaccharide vaccine to overseas travellers </w:t>
                            </w:r>
                            <w:r w:rsidRPr="007029F6">
                              <w:rPr>
                                <w:rFonts w:cs="Arial"/>
                                <w:szCs w:val="24"/>
                              </w:rPr>
                              <w:t xml:space="preserve">at risk of exposure to </w:t>
                            </w:r>
                            <w:r w:rsidRPr="007029F6">
                              <w:rPr>
                                <w:rFonts w:cs="Arial"/>
                                <w:i/>
                                <w:szCs w:val="24"/>
                              </w:rPr>
                              <w:t>Salmonella enterica serovar typhi</w:t>
                            </w:r>
                            <w:r w:rsidRPr="007029F6">
                              <w:rPr>
                                <w:rFonts w:cs="Arial"/>
                                <w:szCs w:val="24"/>
                              </w:rPr>
                              <w:t xml:space="preserve"> (</w:t>
                            </w:r>
                            <w:r w:rsidRPr="007029F6">
                              <w:rPr>
                                <w:rFonts w:cs="Arial"/>
                                <w:i/>
                                <w:szCs w:val="24"/>
                              </w:rPr>
                              <w:t>S.</w:t>
                            </w:r>
                            <w:r>
                              <w:rPr>
                                <w:rFonts w:cs="Arial"/>
                                <w:i/>
                                <w:szCs w:val="24"/>
                              </w:rPr>
                              <w:t xml:space="preserve"> </w:t>
                            </w:r>
                            <w:r w:rsidRPr="007029F6">
                              <w:rPr>
                                <w:rFonts w:cs="Arial"/>
                                <w:i/>
                                <w:szCs w:val="24"/>
                              </w:rPr>
                              <w:t>typhi</w:t>
                            </w:r>
                            <w:r w:rsidRPr="007029F6">
                              <w:rPr>
                                <w:rFonts w:cs="Arial"/>
                                <w:szCs w:val="24"/>
                              </w:rPr>
                              <w:t>)</w:t>
                            </w:r>
                            <w:r w:rsidRPr="007029F6">
                              <w:t xml:space="preserve"> </w:t>
                            </w:r>
                            <w:r>
                              <w:t xml:space="preserve">in accordance with recommendations from </w:t>
                            </w:r>
                            <w:r w:rsidRPr="007029F6">
                              <w:t>the National Travel Health Network and Centre (NaTHNaC</w:t>
                            </w:r>
                            <w:r>
                              <w:t>)</w:t>
                            </w:r>
                            <w:r w:rsidRPr="007029F6">
                              <w:rPr>
                                <w:rFonts w:cs="Arial"/>
                                <w:szCs w:val="24"/>
                              </w:rPr>
                              <w:t>.</w:t>
                            </w:r>
                            <w:r w:rsidRPr="0070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33D7" id="Rectangle 2" o:spid="_x0000_s1026" style="position:absolute;margin-left:.35pt;margin-top:18.25pt;width:492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peLQIAAFQEAAAOAAAAZHJzL2Uyb0RvYy54bWysVNuO0zAQfUfiHyy/0yQluy1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" strokeweight="3pt">
                <v:stroke linestyle="thinThin"/>
                <v:textbox>
                  <w:txbxContent>
                    <w:p w14:paraId="3EC1AC15" w14:textId="77777777" w:rsidR="00E1695C" w:rsidRDefault="00E1695C"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E1695C" w:rsidRPr="002D265F" w:rsidRDefault="00E1695C" w:rsidP="0032489D">
                      <w:pPr>
                        <w:jc w:val="center"/>
                        <w:rPr>
                          <w:color w:val="FF0000"/>
                          <w:sz w:val="16"/>
                          <w:szCs w:val="16"/>
                        </w:rPr>
                      </w:pPr>
                    </w:p>
                    <w:p w14:paraId="183DCB08" w14:textId="3F9C7791" w:rsidR="00E1695C" w:rsidRPr="007029F6" w:rsidRDefault="00E1695C" w:rsidP="00B11781">
                      <w:pPr>
                        <w:shd w:val="clear" w:color="auto" w:fill="FFFFFF"/>
                        <w:jc w:val="center"/>
                      </w:pPr>
                      <w:r w:rsidRPr="007029F6">
                        <w:t xml:space="preserve">Administration of typhoid Vi polysaccharide vaccine to overseas travellers </w:t>
                      </w:r>
                      <w:r w:rsidRPr="007029F6">
                        <w:rPr>
                          <w:rFonts w:cs="Arial"/>
                          <w:szCs w:val="24"/>
                        </w:rPr>
                        <w:t xml:space="preserve">at risk of exposure to </w:t>
                      </w:r>
                      <w:r w:rsidRPr="007029F6">
                        <w:rPr>
                          <w:rFonts w:cs="Arial"/>
                          <w:i/>
                          <w:szCs w:val="24"/>
                        </w:rPr>
                        <w:t>Salmonella enterica serovar typhi</w:t>
                      </w:r>
                      <w:r w:rsidRPr="007029F6">
                        <w:rPr>
                          <w:rFonts w:cs="Arial"/>
                          <w:szCs w:val="24"/>
                        </w:rPr>
                        <w:t xml:space="preserve"> (</w:t>
                      </w:r>
                      <w:r w:rsidRPr="007029F6">
                        <w:rPr>
                          <w:rFonts w:cs="Arial"/>
                          <w:i/>
                          <w:szCs w:val="24"/>
                        </w:rPr>
                        <w:t>S.</w:t>
                      </w:r>
                      <w:r>
                        <w:rPr>
                          <w:rFonts w:cs="Arial"/>
                          <w:i/>
                          <w:szCs w:val="24"/>
                        </w:rPr>
                        <w:t xml:space="preserve"> </w:t>
                      </w:r>
                      <w:r w:rsidRPr="007029F6">
                        <w:rPr>
                          <w:rFonts w:cs="Arial"/>
                          <w:i/>
                          <w:szCs w:val="24"/>
                        </w:rPr>
                        <w:t>typhi</w:t>
                      </w:r>
                      <w:r w:rsidRPr="007029F6">
                        <w:rPr>
                          <w:rFonts w:cs="Arial"/>
                          <w:szCs w:val="24"/>
                        </w:rPr>
                        <w:t>)</w:t>
                      </w:r>
                      <w:r w:rsidRPr="007029F6">
                        <w:t xml:space="preserve"> </w:t>
                      </w:r>
                      <w:r>
                        <w:t xml:space="preserve">in accordance with recommendations from </w:t>
                      </w:r>
                      <w:r w:rsidRPr="007029F6">
                        <w:t>the National Travel Health Network and Centre (NaTHNaC</w:t>
                      </w:r>
                      <w:r>
                        <w:t>)</w:t>
                      </w:r>
                      <w:r w:rsidRPr="007029F6">
                        <w:rPr>
                          <w:rFonts w:cs="Arial"/>
                          <w:szCs w:val="24"/>
                        </w:rPr>
                        <w:t>.</w:t>
                      </w:r>
                      <w:r w:rsidRPr="007029F6">
                        <w:t xml:space="preserve"> </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291339">
        <w:rPr>
          <w:b/>
          <w:szCs w:val="24"/>
        </w:rPr>
        <w:t xml:space="preserve"> </w:t>
      </w:r>
      <w:r w:rsidR="002E1A12">
        <w:rPr>
          <w:b/>
          <w:szCs w:val="24"/>
        </w:rPr>
        <w:t>2017771</w:t>
      </w:r>
    </w:p>
    <w:p w14:paraId="2CF398FB" w14:textId="606BCB8A" w:rsidR="00A440DE" w:rsidRPr="007029F6" w:rsidRDefault="00A23CE7" w:rsidP="006030B1">
      <w:pPr>
        <w:pStyle w:val="Default"/>
        <w:spacing w:before="60"/>
        <w:rPr>
          <w:color w:val="auto"/>
        </w:rPr>
      </w:pPr>
      <w:r w:rsidRPr="007029F6">
        <w:rPr>
          <w:color w:val="auto"/>
        </w:rPr>
        <w:t>This PGD is f</w:t>
      </w:r>
      <w:r w:rsidR="002171DC" w:rsidRPr="007029F6">
        <w:rPr>
          <w:color w:val="auto"/>
        </w:rPr>
        <w:t xml:space="preserve">or the </w:t>
      </w:r>
      <w:r w:rsidR="00D1582D" w:rsidRPr="007029F6">
        <w:rPr>
          <w:color w:val="auto"/>
        </w:rPr>
        <w:t xml:space="preserve">administration </w:t>
      </w:r>
      <w:r w:rsidR="00940A55" w:rsidRPr="007029F6">
        <w:rPr>
          <w:color w:val="auto"/>
        </w:rPr>
        <w:t xml:space="preserve">of </w:t>
      </w:r>
      <w:r w:rsidR="00B11781" w:rsidRPr="007029F6">
        <w:rPr>
          <w:color w:val="auto"/>
        </w:rPr>
        <w:t xml:space="preserve">typhoid Vi polysaccharide vaccine </w:t>
      </w:r>
      <w:r w:rsidR="00F26A66" w:rsidRPr="007029F6">
        <w:rPr>
          <w:color w:val="auto"/>
        </w:rPr>
        <w:t>by</w:t>
      </w:r>
      <w:r w:rsidR="00270FC2" w:rsidRPr="007029F6">
        <w:rPr>
          <w:color w:val="auto"/>
        </w:rPr>
        <w:t xml:space="preserve"> </w:t>
      </w:r>
      <w:r w:rsidR="005D1F4C" w:rsidRPr="005D1F4C">
        <w:rPr>
          <w:color w:val="auto"/>
        </w:rPr>
        <w:t>registered healthcare practitioners identified in Section 3, subject to any limitations to authorisation detailed in Section 2.</w:t>
      </w:r>
      <w:r w:rsidR="00CB72FE" w:rsidRPr="007029F6">
        <w:rPr>
          <w:color w:val="auto"/>
        </w:rPr>
        <w:t xml:space="preserve"> </w:t>
      </w:r>
    </w:p>
    <w:p w14:paraId="1840945A" w14:textId="77777777" w:rsidR="00815487" w:rsidRPr="00E161EA" w:rsidRDefault="00815487" w:rsidP="005D1F4C">
      <w:pPr>
        <w:ind w:rightChars="-375" w:right="-900"/>
        <w:rPr>
          <w:color w:val="000000"/>
          <w:szCs w:val="24"/>
        </w:rPr>
      </w:pPr>
      <w:r w:rsidRPr="00E161EA">
        <w:rPr>
          <w:color w:val="000000"/>
          <w:szCs w:val="24"/>
        </w:rPr>
        <w:tab/>
      </w:r>
    </w:p>
    <w:p w14:paraId="0087F8E5" w14:textId="148DAC3A" w:rsidR="00815487" w:rsidRPr="00FD799B" w:rsidRDefault="00A440DE" w:rsidP="006030B1">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2D265F">
        <w:rPr>
          <w:rFonts w:cs="Arial"/>
          <w:color w:val="000000"/>
          <w:szCs w:val="24"/>
        </w:rPr>
        <w:t>Typhoid</w:t>
      </w:r>
      <w:r w:rsidR="00CB72FE">
        <w:rPr>
          <w:rFonts w:cs="Arial"/>
          <w:color w:val="000000"/>
          <w:szCs w:val="24"/>
        </w:rPr>
        <w:t xml:space="preserve"> </w:t>
      </w:r>
      <w:r w:rsidR="00417636">
        <w:rPr>
          <w:rFonts w:cs="Arial"/>
          <w:color w:val="000000"/>
          <w:szCs w:val="24"/>
        </w:rPr>
        <w:t xml:space="preserve">Vi </w:t>
      </w:r>
      <w:r w:rsidR="00CB72FE">
        <w:rPr>
          <w:rFonts w:cs="Arial"/>
          <w:color w:val="000000"/>
          <w:szCs w:val="24"/>
        </w:rPr>
        <w:t>vaccine PGD</w:t>
      </w:r>
    </w:p>
    <w:p w14:paraId="7B642581" w14:textId="0582859F" w:rsidR="00815487" w:rsidRPr="002D265F" w:rsidRDefault="00815487" w:rsidP="00E161EA">
      <w:pPr>
        <w:spacing w:line="320" w:lineRule="exact"/>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194920">
        <w:rPr>
          <w:rFonts w:cs="Arial"/>
          <w:szCs w:val="24"/>
        </w:rPr>
        <w:t>V01</w:t>
      </w:r>
      <w:r w:rsidR="00CB72FE">
        <w:rPr>
          <w:rFonts w:cs="Arial"/>
          <w:szCs w:val="24"/>
        </w:rPr>
        <w:t>.0</w:t>
      </w:r>
      <w:r w:rsidR="00194920">
        <w:rPr>
          <w:rFonts w:cs="Arial"/>
          <w:szCs w:val="24"/>
        </w:rPr>
        <w:t>0</w:t>
      </w:r>
      <w:r w:rsidR="002D265F">
        <w:rPr>
          <w:rFonts w:cs="Arial"/>
          <w:szCs w:val="24"/>
        </w:rPr>
        <w:t xml:space="preserve"> </w:t>
      </w:r>
    </w:p>
    <w:p w14:paraId="4BFFCE89" w14:textId="31C4B2A9" w:rsidR="00815487" w:rsidRPr="00267ECE" w:rsidRDefault="00815487" w:rsidP="00E161EA">
      <w:pPr>
        <w:spacing w:line="320" w:lineRule="exact"/>
        <w:ind w:rightChars="-375" w:right="-900"/>
        <w:rPr>
          <w:rFonts w:cs="Arial"/>
          <w:szCs w:val="24"/>
        </w:rPr>
      </w:pPr>
      <w:r w:rsidRPr="005579C0">
        <w:rPr>
          <w:rFonts w:cs="Arial"/>
          <w:szCs w:val="24"/>
        </w:rPr>
        <w:t>Valid from:</w:t>
      </w:r>
      <w:r w:rsidRPr="005579C0">
        <w:rPr>
          <w:rFonts w:cs="Arial"/>
          <w:szCs w:val="24"/>
        </w:rPr>
        <w:tab/>
      </w:r>
      <w:r w:rsidRPr="005579C0">
        <w:rPr>
          <w:rFonts w:cs="Arial"/>
          <w:szCs w:val="24"/>
        </w:rPr>
        <w:tab/>
      </w:r>
      <w:r w:rsidR="00267ECE" w:rsidRPr="00267ECE">
        <w:rPr>
          <w:rFonts w:cs="Arial"/>
          <w:szCs w:val="24"/>
        </w:rPr>
        <w:t>01</w:t>
      </w:r>
      <w:r w:rsidR="00C16B9B" w:rsidRPr="00267ECE">
        <w:rPr>
          <w:rFonts w:cs="Arial"/>
          <w:szCs w:val="24"/>
        </w:rPr>
        <w:t xml:space="preserve"> </w:t>
      </w:r>
      <w:r w:rsidR="00340725" w:rsidRPr="00267ECE">
        <w:rPr>
          <w:rFonts w:cs="Arial"/>
          <w:szCs w:val="24"/>
        </w:rPr>
        <w:t>M</w:t>
      </w:r>
      <w:r w:rsidR="00267ECE" w:rsidRPr="00267ECE">
        <w:rPr>
          <w:rFonts w:cs="Arial"/>
          <w:szCs w:val="24"/>
        </w:rPr>
        <w:t>arch</w:t>
      </w:r>
      <w:r w:rsidR="00340725" w:rsidRPr="00267ECE">
        <w:rPr>
          <w:rFonts w:cs="Arial"/>
          <w:szCs w:val="24"/>
        </w:rPr>
        <w:t xml:space="preserve"> </w:t>
      </w:r>
      <w:r w:rsidR="00C16B9B" w:rsidRPr="00267ECE">
        <w:rPr>
          <w:rFonts w:cs="Arial"/>
          <w:szCs w:val="24"/>
        </w:rPr>
        <w:t>2018</w:t>
      </w:r>
    </w:p>
    <w:p w14:paraId="2FA328C6" w14:textId="380F31EA" w:rsidR="00815487" w:rsidRPr="00267ECE" w:rsidRDefault="00815487" w:rsidP="00E161EA">
      <w:pPr>
        <w:spacing w:line="320" w:lineRule="exact"/>
        <w:ind w:rightChars="-375" w:right="-900"/>
        <w:rPr>
          <w:rFonts w:cs="Arial"/>
          <w:szCs w:val="24"/>
        </w:rPr>
      </w:pPr>
      <w:r w:rsidRPr="00267ECE">
        <w:rPr>
          <w:rFonts w:cs="Arial"/>
          <w:szCs w:val="24"/>
        </w:rPr>
        <w:t>Review date:</w:t>
      </w:r>
      <w:r w:rsidRPr="00267ECE">
        <w:rPr>
          <w:rFonts w:cs="Arial"/>
          <w:szCs w:val="24"/>
        </w:rPr>
        <w:tab/>
      </w:r>
      <w:r w:rsidRPr="00267ECE">
        <w:rPr>
          <w:rFonts w:cs="Arial"/>
          <w:szCs w:val="24"/>
        </w:rPr>
        <w:tab/>
      </w:r>
      <w:r w:rsidR="00267ECE" w:rsidRPr="00267ECE">
        <w:rPr>
          <w:rFonts w:cs="Arial"/>
          <w:szCs w:val="24"/>
        </w:rPr>
        <w:t>01</w:t>
      </w:r>
      <w:r w:rsidR="00C16B9B" w:rsidRPr="00267ECE">
        <w:rPr>
          <w:rFonts w:cs="Arial"/>
          <w:szCs w:val="24"/>
        </w:rPr>
        <w:t xml:space="preserve"> </w:t>
      </w:r>
      <w:r w:rsidR="00267ECE" w:rsidRPr="00267ECE">
        <w:rPr>
          <w:rFonts w:cs="Arial"/>
          <w:szCs w:val="24"/>
        </w:rPr>
        <w:t>September</w:t>
      </w:r>
      <w:r w:rsidR="002D265F" w:rsidRPr="00267ECE">
        <w:rPr>
          <w:rFonts w:cs="Arial"/>
          <w:szCs w:val="24"/>
        </w:rPr>
        <w:t xml:space="preserve"> 20</w:t>
      </w:r>
      <w:r w:rsidR="00C16B9B" w:rsidRPr="00267ECE">
        <w:rPr>
          <w:rFonts w:cs="Arial"/>
          <w:szCs w:val="24"/>
        </w:rPr>
        <w:t>19</w:t>
      </w:r>
    </w:p>
    <w:p w14:paraId="216006F4" w14:textId="39FAAE55" w:rsidR="00815487" w:rsidRPr="00267ECE" w:rsidRDefault="00815487" w:rsidP="00E161EA">
      <w:pPr>
        <w:spacing w:line="320" w:lineRule="exact"/>
        <w:ind w:rightChars="-375" w:right="-900"/>
        <w:rPr>
          <w:rFonts w:cs="Arial"/>
          <w:szCs w:val="24"/>
        </w:rPr>
      </w:pPr>
      <w:r w:rsidRPr="00267ECE">
        <w:rPr>
          <w:rFonts w:cs="Arial"/>
          <w:szCs w:val="24"/>
        </w:rPr>
        <w:t>Expiry date:</w:t>
      </w:r>
      <w:r w:rsidRPr="00267ECE">
        <w:rPr>
          <w:rFonts w:cs="Arial"/>
          <w:szCs w:val="24"/>
        </w:rPr>
        <w:tab/>
      </w:r>
      <w:r w:rsidRPr="00267ECE">
        <w:rPr>
          <w:rFonts w:cs="Arial"/>
          <w:szCs w:val="24"/>
        </w:rPr>
        <w:tab/>
      </w:r>
      <w:r w:rsidR="00267ECE" w:rsidRPr="00267ECE">
        <w:rPr>
          <w:rFonts w:cs="Arial"/>
          <w:szCs w:val="24"/>
        </w:rPr>
        <w:t xml:space="preserve">29 February </w:t>
      </w:r>
      <w:r w:rsidR="002D265F" w:rsidRPr="00267ECE">
        <w:rPr>
          <w:rFonts w:cs="Arial"/>
          <w:szCs w:val="24"/>
        </w:rPr>
        <w:t>20</w:t>
      </w:r>
      <w:r w:rsidR="00267ECE" w:rsidRPr="00267ECE">
        <w:rPr>
          <w:rFonts w:cs="Arial"/>
          <w:szCs w:val="24"/>
        </w:rPr>
        <w:t>20</w:t>
      </w:r>
    </w:p>
    <w:p w14:paraId="7BF77C01" w14:textId="77777777" w:rsidR="005E4B93" w:rsidRPr="00E161EA" w:rsidRDefault="00815487" w:rsidP="00E161EA">
      <w:pPr>
        <w:rPr>
          <w:rFonts w:cs="Arial"/>
          <w:b/>
          <w:szCs w:val="24"/>
        </w:rPr>
      </w:pPr>
      <w:r w:rsidRPr="00E161EA" w:rsidDel="00815487">
        <w:rPr>
          <w:rFonts w:cs="Arial"/>
          <w:b/>
          <w:color w:val="000000"/>
          <w:szCs w:val="24"/>
        </w:rPr>
        <w:t xml:space="preserve"> </w:t>
      </w:r>
    </w:p>
    <w:p w14:paraId="605D297F" w14:textId="22C96D8C"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immunisations in </w:t>
      </w:r>
      <w:r w:rsidR="0051753E" w:rsidRPr="0051753E">
        <w:rPr>
          <w:b/>
          <w:bCs/>
        </w:rPr>
        <w:t xml:space="preserve">the NHS </w:t>
      </w:r>
      <w:r w:rsidR="0051753E">
        <w:rPr>
          <w:b/>
          <w:bCs/>
        </w:rPr>
        <w:t xml:space="preserve">in line with national recommendations. </w:t>
      </w:r>
    </w:p>
    <w:p w14:paraId="710DE625" w14:textId="77777777" w:rsidR="009B6DB4" w:rsidRPr="00E161EA" w:rsidRDefault="009B6DB4" w:rsidP="00E161EA">
      <w:pPr>
        <w:rPr>
          <w:rFonts w:cs="Arial"/>
          <w:b/>
          <w:szCs w:val="24"/>
        </w:rPr>
      </w:pPr>
    </w:p>
    <w:p w14:paraId="351C9B69" w14:textId="710A0753"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3112B1">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14:paraId="2582D015" w14:textId="77777777" w:rsidR="0051753E" w:rsidRPr="00E161EA" w:rsidRDefault="0051753E" w:rsidP="00E161EA">
      <w:pPr>
        <w:rPr>
          <w:rFonts w:cs="Arial"/>
          <w:szCs w:val="24"/>
        </w:rPr>
      </w:pPr>
    </w:p>
    <w:p w14:paraId="6DAFE4FD" w14:textId="78F9E22D" w:rsidR="00FE6760" w:rsidRDefault="00FE6760" w:rsidP="00FE6760">
      <w:r>
        <w:t>Authorising organisations must not alter</w:t>
      </w:r>
      <w:r w:rsidR="00367D86">
        <w:t>,</w:t>
      </w:r>
      <w:r>
        <w:t xml:space="preserve"> amend</w:t>
      </w:r>
      <w:r w:rsidR="00367D86">
        <w:t xml:space="preserve"> or add to</w:t>
      </w:r>
      <w:r>
        <w:t xml:space="preserve">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 authorising organisations must not alter section 3 ‘Characteristics of staff’. Only sections 2 and 7 can be amended.</w:t>
      </w:r>
    </w:p>
    <w:p w14:paraId="0FF0ADEE" w14:textId="77777777" w:rsidR="00FE6760" w:rsidRDefault="00FE6760" w:rsidP="00FE6760"/>
    <w:p w14:paraId="7371C221" w14:textId="77777777" w:rsidR="00FE6760" w:rsidRDefault="00FE6760" w:rsidP="00FE6760">
      <w:r>
        <w:t>Operation of this PGD is the responsibility of commissioners and service providers.</w:t>
      </w:r>
    </w:p>
    <w:p w14:paraId="0EB285A8" w14:textId="77777777" w:rsidR="005E4B93" w:rsidRPr="00E161EA" w:rsidRDefault="005E4B93" w:rsidP="00E161EA">
      <w:pPr>
        <w:rPr>
          <w:rFonts w:cs="Arial"/>
          <w:b/>
          <w:bCs/>
          <w:szCs w:val="24"/>
        </w:rPr>
      </w:pPr>
    </w:p>
    <w:p w14:paraId="71BE2BBC" w14:textId="74B11500"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14:paraId="27A0C3DC" w14:textId="77777777" w:rsidR="005E4B93" w:rsidRPr="00E161EA" w:rsidRDefault="005E4B93" w:rsidP="00E161EA">
      <w:pPr>
        <w:rPr>
          <w:rFonts w:cs="Arial"/>
          <w:b/>
          <w:bCs/>
          <w:szCs w:val="24"/>
        </w:rPr>
      </w:pPr>
    </w:p>
    <w:p w14:paraId="5D868C70" w14:textId="487F92BE"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77777777" w:rsidR="001700C1" w:rsidRPr="00E161EA" w:rsidRDefault="00530B27"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14:paraId="13ABAA50" w14:textId="77777777" w:rsidR="006B166E" w:rsidRDefault="006B166E" w:rsidP="00E161EA">
      <w:pPr>
        <w:rPr>
          <w:rFonts w:cs="Arial"/>
          <w:color w:val="000000"/>
          <w:szCs w:val="24"/>
        </w:rPr>
      </w:pPr>
    </w:p>
    <w:p w14:paraId="3BB172C3" w14:textId="77777777"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18C896B" w14:textId="612D52AC" w:rsidR="006B166E" w:rsidRDefault="00530B27"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6141"/>
        <w:gridCol w:w="1989"/>
      </w:tblGrid>
      <w:tr w:rsidR="001C305E" w:rsidRPr="007A1448" w14:paraId="42062F7F" w14:textId="77777777" w:rsidTr="00267ECE">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116"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1009"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1C305E" w:rsidRPr="007A1448" w14:paraId="6B04CA40" w14:textId="77777777" w:rsidTr="00267ECE">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749A96A0" w:rsidR="00E775F3" w:rsidRPr="0000799E" w:rsidRDefault="00CB72FE" w:rsidP="006F4906">
            <w:pPr>
              <w:pStyle w:val="Tabletext"/>
            </w:pPr>
            <w:r>
              <w:t>V01.00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28C6977D" w14:textId="60FEC1ED" w:rsidR="001C305E" w:rsidRPr="0000799E" w:rsidRDefault="00CB72FE" w:rsidP="002D265F">
            <w:pPr>
              <w:pStyle w:val="Tabletext"/>
            </w:pPr>
            <w:r>
              <w:t xml:space="preserve">New PHE </w:t>
            </w:r>
            <w:r w:rsidR="00AC48BE">
              <w:t>t</w:t>
            </w:r>
            <w:r w:rsidR="002D265F">
              <w:t>yphoid</w:t>
            </w:r>
            <w:r>
              <w:t xml:space="preserve"> </w:t>
            </w:r>
            <w:r w:rsidR="00417636">
              <w:t xml:space="preserve">Vi </w:t>
            </w:r>
            <w:r>
              <w:t>vaccine PGD</w:t>
            </w:r>
          </w:p>
        </w:tc>
        <w:tc>
          <w:tcPr>
            <w:tcW w:w="1009" w:type="pct"/>
            <w:tcBorders>
              <w:top w:val="single" w:sz="4" w:space="0" w:color="auto"/>
              <w:left w:val="single" w:sz="4" w:space="0" w:color="auto"/>
              <w:bottom w:val="single" w:sz="4" w:space="0" w:color="auto"/>
              <w:right w:val="single" w:sz="4" w:space="0" w:color="auto"/>
            </w:tcBorders>
          </w:tcPr>
          <w:p w14:paraId="65AE4E75" w14:textId="61392047" w:rsidR="001C305E" w:rsidRPr="00855509" w:rsidRDefault="00701A3B" w:rsidP="00307729">
            <w:pPr>
              <w:pStyle w:val="Tabletext"/>
            </w:pPr>
            <w:r>
              <w:t>30</w:t>
            </w:r>
            <w:r w:rsidR="00AC48BE">
              <w:t xml:space="preserve"> January 2018</w:t>
            </w:r>
          </w:p>
        </w:tc>
      </w:tr>
    </w:tbl>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559DD3EB" w:rsidR="00BC6F32" w:rsidRPr="00E161EA" w:rsidRDefault="00BC6F32" w:rsidP="000545F3">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5003903D"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7A2817" w:rsidRDefault="00B32ECD" w:rsidP="009D13A5">
            <w:pPr>
              <w:rPr>
                <w:rFonts w:cs="Arial"/>
                <w:color w:val="FF0000"/>
                <w:sz w:val="22"/>
                <w:szCs w:val="22"/>
              </w:rPr>
            </w:pPr>
            <w:r w:rsidRPr="007A2817">
              <w:rPr>
                <w:rFonts w:cs="Arial"/>
                <w:b/>
                <w:sz w:val="22"/>
                <w:szCs w:val="22"/>
              </w:rPr>
              <w:t>Developed by:</w:t>
            </w:r>
          </w:p>
        </w:tc>
        <w:tc>
          <w:tcPr>
            <w:tcW w:w="3118" w:type="dxa"/>
            <w:shd w:val="clear" w:color="auto" w:fill="F2F2F2" w:themeFill="background1" w:themeFillShade="F2"/>
            <w:vAlign w:val="center"/>
          </w:tcPr>
          <w:p w14:paraId="7F57511A" w14:textId="77777777" w:rsidR="00B32ECD" w:rsidRPr="007A2817" w:rsidRDefault="00B32ECD" w:rsidP="009D13A5">
            <w:pPr>
              <w:rPr>
                <w:rFonts w:cs="Arial"/>
                <w:b/>
                <w:sz w:val="22"/>
                <w:szCs w:val="22"/>
              </w:rPr>
            </w:pPr>
            <w:r w:rsidRPr="007A2817">
              <w:rPr>
                <w:rFonts w:cs="Arial"/>
                <w:b/>
                <w:sz w:val="22"/>
                <w:szCs w:val="22"/>
              </w:rPr>
              <w:t>Name</w:t>
            </w:r>
          </w:p>
        </w:tc>
        <w:tc>
          <w:tcPr>
            <w:tcW w:w="2126" w:type="dxa"/>
            <w:shd w:val="clear" w:color="auto" w:fill="F2F2F2" w:themeFill="background1" w:themeFillShade="F2"/>
            <w:vAlign w:val="center"/>
          </w:tcPr>
          <w:p w14:paraId="53CF5DBC" w14:textId="77777777" w:rsidR="00B32ECD" w:rsidRPr="007A2817" w:rsidRDefault="00B32ECD" w:rsidP="009D13A5">
            <w:pPr>
              <w:rPr>
                <w:rFonts w:cs="Arial"/>
                <w:b/>
                <w:sz w:val="22"/>
                <w:szCs w:val="22"/>
              </w:rPr>
            </w:pPr>
            <w:r w:rsidRPr="007A2817">
              <w:rPr>
                <w:rFonts w:cs="Arial"/>
                <w:b/>
                <w:sz w:val="22"/>
                <w:szCs w:val="22"/>
              </w:rPr>
              <w:t>Signature</w:t>
            </w:r>
          </w:p>
        </w:tc>
        <w:tc>
          <w:tcPr>
            <w:tcW w:w="1985" w:type="dxa"/>
            <w:shd w:val="clear" w:color="auto" w:fill="F2F2F2" w:themeFill="background1" w:themeFillShade="F2"/>
            <w:vAlign w:val="center"/>
          </w:tcPr>
          <w:p w14:paraId="554BE8E9" w14:textId="77777777" w:rsidR="00B32ECD" w:rsidRPr="007A2817" w:rsidRDefault="00B32ECD" w:rsidP="009D13A5">
            <w:pPr>
              <w:rPr>
                <w:rFonts w:cs="Arial"/>
                <w:b/>
                <w:sz w:val="22"/>
                <w:szCs w:val="22"/>
              </w:rPr>
            </w:pPr>
            <w:r w:rsidRPr="007A2817">
              <w:rPr>
                <w:rFonts w:cs="Arial"/>
                <w:b/>
                <w:sz w:val="22"/>
                <w:szCs w:val="22"/>
              </w:rPr>
              <w:t>Date</w:t>
            </w:r>
          </w:p>
        </w:tc>
      </w:tr>
      <w:tr w:rsidR="00B37B3B" w:rsidRPr="0036347F" w14:paraId="00844E13" w14:textId="77777777" w:rsidTr="006C69EC">
        <w:trPr>
          <w:trHeight w:val="720"/>
        </w:trPr>
        <w:tc>
          <w:tcPr>
            <w:tcW w:w="2694" w:type="dxa"/>
          </w:tcPr>
          <w:p w14:paraId="2F0250BE" w14:textId="77777777" w:rsidR="00B37B3B" w:rsidRPr="007A2817" w:rsidRDefault="00B37B3B" w:rsidP="009D13A5">
            <w:pPr>
              <w:pStyle w:val="Heading6"/>
              <w:spacing w:before="0" w:after="0"/>
              <w:jc w:val="left"/>
              <w:rPr>
                <w:rFonts w:ascii="Arial" w:hAnsi="Arial" w:cs="Arial"/>
                <w:i w:val="0"/>
                <w:sz w:val="22"/>
                <w:szCs w:val="22"/>
              </w:rPr>
            </w:pPr>
          </w:p>
          <w:p w14:paraId="06E0650A" w14:textId="77777777" w:rsidR="00B37B3B" w:rsidRPr="007A2817" w:rsidRDefault="00B37B3B" w:rsidP="009D13A5">
            <w:pPr>
              <w:pStyle w:val="Heading6"/>
              <w:spacing w:before="0" w:after="0"/>
              <w:jc w:val="left"/>
              <w:rPr>
                <w:rFonts w:ascii="Arial" w:hAnsi="Arial" w:cs="Arial"/>
                <w:i w:val="0"/>
                <w:sz w:val="22"/>
                <w:szCs w:val="22"/>
              </w:rPr>
            </w:pPr>
            <w:r w:rsidRPr="007A2817">
              <w:rPr>
                <w:rFonts w:ascii="Arial" w:hAnsi="Arial" w:cs="Arial"/>
                <w:i w:val="0"/>
                <w:sz w:val="22"/>
                <w:szCs w:val="22"/>
              </w:rPr>
              <w:t>Pharmacist</w:t>
            </w:r>
          </w:p>
          <w:p w14:paraId="6990E634" w14:textId="77777777" w:rsidR="00B37B3B" w:rsidRPr="007A2817" w:rsidRDefault="00B37B3B" w:rsidP="009D13A5">
            <w:pPr>
              <w:rPr>
                <w:rFonts w:cs="Arial"/>
                <w:sz w:val="22"/>
                <w:szCs w:val="22"/>
              </w:rPr>
            </w:pPr>
            <w:r w:rsidRPr="007A2817">
              <w:rPr>
                <w:rFonts w:cs="Arial"/>
                <w:sz w:val="22"/>
                <w:szCs w:val="22"/>
              </w:rPr>
              <w:t>(Lead Author)</w:t>
            </w:r>
          </w:p>
        </w:tc>
        <w:tc>
          <w:tcPr>
            <w:tcW w:w="3118" w:type="dxa"/>
            <w:shd w:val="clear" w:color="auto" w:fill="auto"/>
            <w:vAlign w:val="center"/>
          </w:tcPr>
          <w:p w14:paraId="7A86C823" w14:textId="77777777" w:rsidR="00B37B3B" w:rsidRPr="007A2817" w:rsidRDefault="00B37B3B" w:rsidP="007A2817">
            <w:pPr>
              <w:rPr>
                <w:rFonts w:cs="Arial"/>
                <w:sz w:val="22"/>
                <w:szCs w:val="22"/>
              </w:rPr>
            </w:pPr>
            <w:r w:rsidRPr="007A2817">
              <w:rPr>
                <w:rFonts w:cs="Arial"/>
                <w:sz w:val="22"/>
                <w:szCs w:val="22"/>
              </w:rPr>
              <w:t>Elizabeth Graham</w:t>
            </w:r>
          </w:p>
          <w:p w14:paraId="7D97E7CB" w14:textId="1FB8E3C6" w:rsidR="00B37B3B" w:rsidRPr="00A22165" w:rsidRDefault="00B37B3B" w:rsidP="009D13A5">
            <w:pPr>
              <w:rPr>
                <w:rFonts w:cs="Arial"/>
                <w:sz w:val="18"/>
                <w:szCs w:val="18"/>
              </w:rPr>
            </w:pPr>
            <w:r w:rsidRPr="00A22165">
              <w:rPr>
                <w:rFonts w:cs="Arial"/>
                <w:sz w:val="18"/>
                <w:szCs w:val="18"/>
              </w:rPr>
              <w:t>Lead Pharmacist Immunisation Services, PHE</w:t>
            </w:r>
          </w:p>
        </w:tc>
        <w:tc>
          <w:tcPr>
            <w:tcW w:w="2126" w:type="dxa"/>
          </w:tcPr>
          <w:p w14:paraId="47A455E6" w14:textId="18ACC2D6" w:rsidR="00B37B3B" w:rsidRPr="0036347F" w:rsidRDefault="007F1727" w:rsidP="00855509">
            <w:pPr>
              <w:ind w:left="-108"/>
              <w:rPr>
                <w:rFonts w:cs="Arial"/>
                <w:i/>
                <w:color w:val="FF0000"/>
                <w:sz w:val="22"/>
                <w:szCs w:val="22"/>
              </w:rPr>
            </w:pPr>
            <w:r>
              <w:rPr>
                <w:noProof/>
              </w:rPr>
              <w:drawing>
                <wp:anchor distT="0" distB="0" distL="114300" distR="114300" simplePos="0" relativeHeight="251662336" behindDoc="1" locked="0" layoutInCell="1" allowOverlap="1" wp14:anchorId="0BFCD327" wp14:editId="376AD651">
                  <wp:simplePos x="0" y="0"/>
                  <wp:positionH relativeFrom="column">
                    <wp:posOffset>-68580</wp:posOffset>
                  </wp:positionH>
                  <wp:positionV relativeFrom="paragraph">
                    <wp:posOffset>-1905</wp:posOffset>
                  </wp:positionV>
                  <wp:extent cx="1483995" cy="561340"/>
                  <wp:effectExtent l="0" t="0" r="1905" b="0"/>
                  <wp:wrapNone/>
                  <wp:docPr id="6"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14:paraId="06803BD7" w14:textId="65387785" w:rsidR="00B37B3B" w:rsidRPr="0036347F" w:rsidRDefault="00B37B3B" w:rsidP="00B37B3B">
            <w:pPr>
              <w:rPr>
                <w:rFonts w:cs="Arial"/>
              </w:rPr>
            </w:pPr>
            <w:r>
              <w:rPr>
                <w:rFonts w:cs="Arial"/>
                <w:lang w:eastAsia="en-US"/>
              </w:rPr>
              <w:t>01/02/2018</w:t>
            </w:r>
          </w:p>
        </w:tc>
      </w:tr>
      <w:tr w:rsidR="00B37B3B" w:rsidRPr="0036347F" w14:paraId="13F0F9BD" w14:textId="77777777" w:rsidTr="006C69EC">
        <w:trPr>
          <w:trHeight w:val="621"/>
        </w:trPr>
        <w:tc>
          <w:tcPr>
            <w:tcW w:w="2694" w:type="dxa"/>
          </w:tcPr>
          <w:p w14:paraId="6EB3CD65" w14:textId="77777777" w:rsidR="00B37B3B" w:rsidRPr="007A2817" w:rsidRDefault="00B37B3B" w:rsidP="009D13A5">
            <w:pPr>
              <w:pStyle w:val="Heading5"/>
              <w:spacing w:before="0" w:after="0"/>
              <w:rPr>
                <w:rFonts w:ascii="Arial" w:hAnsi="Arial" w:cs="Arial"/>
                <w:i w:val="0"/>
                <w:sz w:val="22"/>
                <w:szCs w:val="22"/>
              </w:rPr>
            </w:pPr>
          </w:p>
          <w:p w14:paraId="02DB9920" w14:textId="77777777" w:rsidR="00B37B3B" w:rsidRPr="007A2817" w:rsidRDefault="00B37B3B" w:rsidP="009D13A5">
            <w:pPr>
              <w:pStyle w:val="Heading5"/>
              <w:spacing w:before="0" w:after="0"/>
              <w:rPr>
                <w:rFonts w:ascii="Arial" w:hAnsi="Arial" w:cs="Arial"/>
                <w:i w:val="0"/>
                <w:sz w:val="22"/>
                <w:szCs w:val="22"/>
              </w:rPr>
            </w:pPr>
            <w:r w:rsidRPr="007A2817">
              <w:rPr>
                <w:rFonts w:ascii="Arial" w:hAnsi="Arial" w:cs="Arial"/>
                <w:i w:val="0"/>
                <w:sz w:val="22"/>
                <w:szCs w:val="22"/>
              </w:rPr>
              <w:t>Doctor</w:t>
            </w:r>
          </w:p>
          <w:p w14:paraId="3D8E2230" w14:textId="03C2067A" w:rsidR="00B37B3B" w:rsidRPr="007A2817" w:rsidRDefault="00B37B3B" w:rsidP="009D13A5">
            <w:pPr>
              <w:rPr>
                <w:rFonts w:cs="Arial"/>
                <w:sz w:val="22"/>
                <w:szCs w:val="22"/>
              </w:rPr>
            </w:pPr>
          </w:p>
        </w:tc>
        <w:tc>
          <w:tcPr>
            <w:tcW w:w="3118" w:type="dxa"/>
            <w:vAlign w:val="center"/>
          </w:tcPr>
          <w:p w14:paraId="1306DC8D" w14:textId="77777777" w:rsidR="00B37B3B" w:rsidRPr="007A2817" w:rsidRDefault="00B37B3B" w:rsidP="007A2817">
            <w:pPr>
              <w:rPr>
                <w:rFonts w:cs="Arial"/>
                <w:sz w:val="22"/>
                <w:szCs w:val="22"/>
              </w:rPr>
            </w:pPr>
            <w:r w:rsidRPr="007A2817">
              <w:rPr>
                <w:rFonts w:cs="Arial"/>
                <w:sz w:val="22"/>
                <w:szCs w:val="22"/>
              </w:rPr>
              <w:t>Mary Ramsay</w:t>
            </w:r>
          </w:p>
          <w:p w14:paraId="0C5561BD" w14:textId="0947DADA" w:rsidR="00B37B3B" w:rsidRPr="00A22165" w:rsidRDefault="00B37B3B"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14:paraId="42934E86" w14:textId="78A3CD97" w:rsidR="00B37B3B" w:rsidRPr="0036347F" w:rsidRDefault="007F1727" w:rsidP="009D13A5">
            <w:pPr>
              <w:rPr>
                <w:rFonts w:cs="Arial"/>
                <w:i/>
                <w:color w:val="FF0000"/>
                <w:sz w:val="22"/>
                <w:szCs w:val="22"/>
              </w:rPr>
            </w:pPr>
            <w:r>
              <w:rPr>
                <w:noProof/>
              </w:rPr>
              <w:drawing>
                <wp:anchor distT="0" distB="0" distL="114300" distR="114300" simplePos="0" relativeHeight="251663360" behindDoc="1" locked="0" layoutInCell="1" allowOverlap="1" wp14:anchorId="41504C7E" wp14:editId="4AA6B613">
                  <wp:simplePos x="0" y="0"/>
                  <wp:positionH relativeFrom="column">
                    <wp:posOffset>-68580</wp:posOffset>
                  </wp:positionH>
                  <wp:positionV relativeFrom="paragraph">
                    <wp:posOffset>3175</wp:posOffset>
                  </wp:positionV>
                  <wp:extent cx="1420495" cy="500380"/>
                  <wp:effectExtent l="0" t="0" r="825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283853BB" w14:textId="31DB9CBC" w:rsidR="00B37B3B" w:rsidRPr="0036347F" w:rsidRDefault="00B37B3B" w:rsidP="009D13A5">
            <w:pPr>
              <w:rPr>
                <w:rFonts w:cs="Arial"/>
              </w:rPr>
            </w:pPr>
            <w:r>
              <w:rPr>
                <w:rFonts w:cs="Arial"/>
                <w:lang w:eastAsia="en-US"/>
              </w:rPr>
              <w:t>01/02/2018</w:t>
            </w:r>
          </w:p>
        </w:tc>
      </w:tr>
      <w:tr w:rsidR="00B37B3B" w:rsidRPr="0036347F" w14:paraId="1C0BC600" w14:textId="77777777" w:rsidTr="006C69EC">
        <w:trPr>
          <w:trHeight w:val="621"/>
        </w:trPr>
        <w:tc>
          <w:tcPr>
            <w:tcW w:w="2694" w:type="dxa"/>
          </w:tcPr>
          <w:p w14:paraId="1EA9821B" w14:textId="77777777" w:rsidR="00B37B3B" w:rsidRPr="007A2817" w:rsidRDefault="00B37B3B" w:rsidP="009D13A5">
            <w:pPr>
              <w:pStyle w:val="Heading5"/>
              <w:spacing w:before="0" w:after="0"/>
              <w:rPr>
                <w:rFonts w:ascii="Arial" w:hAnsi="Arial" w:cs="Arial"/>
                <w:i w:val="0"/>
                <w:color w:val="FF0000"/>
                <w:sz w:val="22"/>
                <w:szCs w:val="22"/>
              </w:rPr>
            </w:pPr>
          </w:p>
          <w:p w14:paraId="67F1135B" w14:textId="77777777" w:rsidR="00B37B3B" w:rsidRPr="007A2817" w:rsidRDefault="00B37B3B" w:rsidP="009D13A5">
            <w:pPr>
              <w:pStyle w:val="Heading5"/>
              <w:spacing w:before="0" w:after="0"/>
              <w:rPr>
                <w:rFonts w:ascii="Arial" w:hAnsi="Arial" w:cs="Arial"/>
                <w:i w:val="0"/>
                <w:sz w:val="22"/>
                <w:szCs w:val="22"/>
              </w:rPr>
            </w:pPr>
            <w:r w:rsidRPr="007A2817">
              <w:rPr>
                <w:rFonts w:ascii="Arial" w:hAnsi="Arial" w:cs="Arial"/>
                <w:i w:val="0"/>
                <w:sz w:val="22"/>
                <w:szCs w:val="22"/>
              </w:rPr>
              <w:t>Registered Nurse</w:t>
            </w:r>
          </w:p>
          <w:p w14:paraId="26808A30" w14:textId="480F0866" w:rsidR="00B37B3B" w:rsidRPr="007A2817" w:rsidRDefault="00B37B3B" w:rsidP="009D13A5">
            <w:pPr>
              <w:rPr>
                <w:rFonts w:cs="Arial"/>
                <w:sz w:val="22"/>
                <w:szCs w:val="22"/>
              </w:rPr>
            </w:pPr>
            <w:r w:rsidRPr="007A2817">
              <w:rPr>
                <w:rFonts w:cs="Arial"/>
                <w:sz w:val="22"/>
                <w:szCs w:val="22"/>
              </w:rPr>
              <w:t>(Chair of Expert Panel)</w:t>
            </w:r>
          </w:p>
        </w:tc>
        <w:tc>
          <w:tcPr>
            <w:tcW w:w="3118" w:type="dxa"/>
            <w:vAlign w:val="center"/>
          </w:tcPr>
          <w:p w14:paraId="24A39791" w14:textId="77777777" w:rsidR="00B37B3B" w:rsidRPr="007A2817" w:rsidRDefault="00B37B3B" w:rsidP="007A2817">
            <w:pPr>
              <w:rPr>
                <w:rFonts w:cs="Arial"/>
                <w:sz w:val="22"/>
                <w:szCs w:val="22"/>
              </w:rPr>
            </w:pPr>
            <w:r w:rsidRPr="007A2817">
              <w:rPr>
                <w:rFonts w:cs="Arial"/>
                <w:sz w:val="22"/>
                <w:szCs w:val="22"/>
              </w:rPr>
              <w:t>David Green</w:t>
            </w:r>
          </w:p>
          <w:p w14:paraId="7F8B2896" w14:textId="32FA5C42" w:rsidR="00B37B3B" w:rsidRPr="00A22165" w:rsidRDefault="00B37B3B"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14:paraId="18A0F6B5" w14:textId="5E63968D" w:rsidR="00B37B3B" w:rsidRPr="0036347F" w:rsidRDefault="007F1727" w:rsidP="009D13A5">
            <w:pPr>
              <w:rPr>
                <w:rFonts w:cs="Arial"/>
                <w:i/>
                <w:color w:val="FF0000"/>
                <w:sz w:val="22"/>
                <w:szCs w:val="22"/>
              </w:rPr>
            </w:pPr>
            <w:r>
              <w:rPr>
                <w:noProof/>
              </w:rPr>
              <w:drawing>
                <wp:anchor distT="0" distB="0" distL="114300" distR="114300" simplePos="0" relativeHeight="251664384" behindDoc="1" locked="0" layoutInCell="1" allowOverlap="1" wp14:anchorId="6F51E1DA" wp14:editId="3D7220DD">
                  <wp:simplePos x="0" y="0"/>
                  <wp:positionH relativeFrom="column">
                    <wp:posOffset>-68580</wp:posOffset>
                  </wp:positionH>
                  <wp:positionV relativeFrom="paragraph">
                    <wp:posOffset>-1270</wp:posOffset>
                  </wp:positionV>
                  <wp:extent cx="1423670" cy="513080"/>
                  <wp:effectExtent l="0" t="0" r="5080" b="127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72254D1A" w14:textId="1D51ABD1" w:rsidR="00B37B3B" w:rsidRPr="0036347F" w:rsidRDefault="00B37B3B" w:rsidP="009D13A5">
            <w:pPr>
              <w:rPr>
                <w:rFonts w:cs="Arial"/>
              </w:rPr>
            </w:pPr>
            <w:r>
              <w:rPr>
                <w:rFonts w:cs="Arial"/>
                <w:lang w:eastAsia="en-US"/>
              </w:rPr>
              <w:t>01/02/2018</w:t>
            </w:r>
          </w:p>
        </w:tc>
      </w:tr>
    </w:tbl>
    <w:p w14:paraId="0AB7A2AE" w14:textId="77777777" w:rsidR="00BC6F32" w:rsidRDefault="00BC6F32" w:rsidP="00BC6F32">
      <w:pPr>
        <w:rPr>
          <w:rFonts w:cs="Arial"/>
          <w:i/>
          <w:sz w:val="16"/>
          <w:szCs w:val="16"/>
        </w:rPr>
      </w:pPr>
    </w:p>
    <w:p w14:paraId="41E894EC" w14:textId="74F5A167"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02085B">
        <w:rPr>
          <w:rFonts w:cs="Arial"/>
          <w:szCs w:val="24"/>
        </w:rPr>
        <w:t xml:space="preserve">the </w:t>
      </w:r>
      <w:r w:rsidRPr="00E161EA">
        <w:rPr>
          <w:rFonts w:cs="Arial"/>
          <w:szCs w:val="24"/>
        </w:rPr>
        <w:t xml:space="preserve">PHE Medicines Management Group and </w:t>
      </w:r>
      <w:r w:rsidR="0002085B">
        <w:rPr>
          <w:rFonts w:cs="Arial"/>
          <w:szCs w:val="24"/>
        </w:rPr>
        <w:t xml:space="preserve">the </w:t>
      </w:r>
      <w:r w:rsidR="009A2DE4" w:rsidRPr="009A2DE4">
        <w:rPr>
          <w:rFonts w:cs="Arial"/>
          <w:szCs w:val="24"/>
        </w:rPr>
        <w:t xml:space="preserve">PHE Quality and Clinical Governance </w:t>
      </w:r>
      <w:r w:rsidR="00232D6F">
        <w:rPr>
          <w:rFonts w:cs="Arial"/>
          <w:szCs w:val="24"/>
        </w:rPr>
        <w:t>Delivery Board</w:t>
      </w:r>
      <w:r w:rsidRPr="00E161EA">
        <w:rPr>
          <w:rFonts w:cs="Arial"/>
          <w:szCs w:val="24"/>
        </w:rPr>
        <w:t>.</w:t>
      </w:r>
    </w:p>
    <w:p w14:paraId="12A605EB" w14:textId="77777777" w:rsidR="006F7521" w:rsidRPr="00E161EA" w:rsidRDefault="006F7521" w:rsidP="00BC6F32">
      <w:pPr>
        <w:rPr>
          <w:rFonts w:cs="Arial"/>
          <w:i/>
          <w:szCs w:val="24"/>
        </w:rPr>
      </w:pPr>
    </w:p>
    <w:p w14:paraId="063DB63B" w14:textId="77777777" w:rsidR="00BC6F32" w:rsidRPr="00E161EA" w:rsidRDefault="00BC6F32" w:rsidP="00BC6F32">
      <w:pPr>
        <w:rPr>
          <w:szCs w:val="24"/>
        </w:rPr>
      </w:pPr>
    </w:p>
    <w:p w14:paraId="65423973" w14:textId="195F4C26" w:rsidR="00BC6F32" w:rsidRDefault="0002085B" w:rsidP="00BC6F32">
      <w:pPr>
        <w:spacing w:line="276" w:lineRule="auto"/>
        <w:rPr>
          <w:rFonts w:cs="Arial"/>
          <w:b/>
          <w:szCs w:val="24"/>
        </w:rPr>
      </w:pPr>
      <w:r>
        <w:rPr>
          <w:rFonts w:cs="Arial"/>
          <w:b/>
          <w:szCs w:val="24"/>
        </w:rPr>
        <w:t>Expert Panel</w:t>
      </w:r>
    </w:p>
    <w:p w14:paraId="02533D83" w14:textId="77777777" w:rsidR="00E059B3" w:rsidRPr="00E161EA" w:rsidRDefault="00E059B3"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9E0FB8" w14:paraId="0AFE9EEB" w14:textId="77777777" w:rsidTr="00B70101">
        <w:trPr>
          <w:trHeight w:val="254"/>
        </w:trPr>
        <w:tc>
          <w:tcPr>
            <w:tcW w:w="2694" w:type="dxa"/>
            <w:shd w:val="clear" w:color="auto" w:fill="F2F2F2" w:themeFill="background1" w:themeFillShade="F2"/>
            <w:vAlign w:val="center"/>
          </w:tcPr>
          <w:p w14:paraId="38A2EFA2" w14:textId="77777777" w:rsidR="00BC6F32" w:rsidRPr="007A2817" w:rsidRDefault="00BC6F32" w:rsidP="009E0FB8">
            <w:pPr>
              <w:rPr>
                <w:rFonts w:cs="Arial"/>
                <w:b/>
                <w:sz w:val="22"/>
                <w:szCs w:val="22"/>
              </w:rPr>
            </w:pPr>
            <w:r w:rsidRPr="007A2817">
              <w:rPr>
                <w:rFonts w:cs="Arial"/>
                <w:b/>
                <w:sz w:val="22"/>
                <w:szCs w:val="22"/>
              </w:rPr>
              <w:t>Name</w:t>
            </w:r>
          </w:p>
        </w:tc>
        <w:tc>
          <w:tcPr>
            <w:tcW w:w="7229" w:type="dxa"/>
            <w:shd w:val="clear" w:color="auto" w:fill="F2F2F2" w:themeFill="background1" w:themeFillShade="F2"/>
            <w:vAlign w:val="center"/>
          </w:tcPr>
          <w:p w14:paraId="5DCFE12F" w14:textId="77777777" w:rsidR="00BC6F32" w:rsidRPr="007A2817" w:rsidRDefault="00BC6F32" w:rsidP="009E0FB8">
            <w:pPr>
              <w:rPr>
                <w:rFonts w:cs="Arial"/>
                <w:b/>
                <w:sz w:val="22"/>
                <w:szCs w:val="22"/>
              </w:rPr>
            </w:pPr>
            <w:r w:rsidRPr="007A2817">
              <w:rPr>
                <w:rFonts w:cs="Arial"/>
                <w:b/>
                <w:sz w:val="22"/>
                <w:szCs w:val="22"/>
              </w:rPr>
              <w:t>Designation</w:t>
            </w:r>
          </w:p>
        </w:tc>
      </w:tr>
      <w:tr w:rsidR="007A2817" w:rsidRPr="009E0FB8" w14:paraId="504D622A" w14:textId="77777777" w:rsidTr="009E0FB8">
        <w:trPr>
          <w:trHeight w:val="254"/>
        </w:trPr>
        <w:tc>
          <w:tcPr>
            <w:tcW w:w="2694" w:type="dxa"/>
            <w:vAlign w:val="center"/>
          </w:tcPr>
          <w:p w14:paraId="1BEBA985" w14:textId="11F10DE4" w:rsidR="007A2817" w:rsidRPr="009E0FB8" w:rsidRDefault="007A2817" w:rsidP="009E0FB8">
            <w:pPr>
              <w:pStyle w:val="Default"/>
              <w:spacing w:before="60" w:after="60"/>
              <w:rPr>
                <w:color w:val="auto"/>
              </w:rPr>
            </w:pPr>
            <w:r w:rsidRPr="008333DE">
              <w:rPr>
                <w:sz w:val="22"/>
                <w:szCs w:val="22"/>
              </w:rPr>
              <w:t>Ed Gardner</w:t>
            </w:r>
          </w:p>
        </w:tc>
        <w:tc>
          <w:tcPr>
            <w:tcW w:w="7229" w:type="dxa"/>
            <w:vAlign w:val="center"/>
          </w:tcPr>
          <w:p w14:paraId="3AD31EB2" w14:textId="67AE9D39" w:rsidR="007A2817" w:rsidRPr="009E0FB8" w:rsidRDefault="007A2817" w:rsidP="009E0FB8">
            <w:pPr>
              <w:pStyle w:val="Default"/>
              <w:spacing w:before="60" w:after="60"/>
              <w:rPr>
                <w:color w:val="auto"/>
              </w:rPr>
            </w:pPr>
            <w:r w:rsidRPr="008333DE">
              <w:rPr>
                <w:sz w:val="22"/>
                <w:szCs w:val="22"/>
              </w:rPr>
              <w:t>Advanced Paramedic Practitioner/Emergency Care Practitioner, Medicines Manager, Proactive Care Lead</w:t>
            </w:r>
          </w:p>
        </w:tc>
      </w:tr>
      <w:tr w:rsidR="007A2817" w:rsidRPr="009E0FB8" w14:paraId="17A4E624" w14:textId="77777777" w:rsidTr="006C69EC">
        <w:trPr>
          <w:trHeight w:val="254"/>
        </w:trPr>
        <w:tc>
          <w:tcPr>
            <w:tcW w:w="2694" w:type="dxa"/>
          </w:tcPr>
          <w:p w14:paraId="43BBB462" w14:textId="30D272CB" w:rsidR="007A2817" w:rsidRPr="009E0FB8" w:rsidRDefault="007A2817" w:rsidP="009E0FB8">
            <w:pPr>
              <w:pStyle w:val="Default"/>
              <w:spacing w:before="60" w:after="60"/>
              <w:rPr>
                <w:color w:val="auto"/>
              </w:rPr>
            </w:pPr>
            <w:r w:rsidRPr="008333DE">
              <w:rPr>
                <w:sz w:val="22"/>
                <w:szCs w:val="22"/>
              </w:rPr>
              <w:t>Jacqueline Lamberty</w:t>
            </w:r>
          </w:p>
        </w:tc>
        <w:tc>
          <w:tcPr>
            <w:tcW w:w="7229" w:type="dxa"/>
          </w:tcPr>
          <w:p w14:paraId="1303E640" w14:textId="148A9C7B" w:rsidR="007A2817" w:rsidRPr="009E0FB8" w:rsidRDefault="007A2817" w:rsidP="009E0FB8">
            <w:pPr>
              <w:pStyle w:val="Default"/>
              <w:spacing w:before="60" w:after="60"/>
              <w:rPr>
                <w:color w:val="auto"/>
              </w:rPr>
            </w:pPr>
            <w:r w:rsidRPr="008333DE">
              <w:rPr>
                <w:rStyle w:val="st1"/>
                <w:sz w:val="22"/>
                <w:szCs w:val="22"/>
              </w:rPr>
              <w:t>Lead Pharmacist Medicines Management Services, Public Health England</w:t>
            </w:r>
          </w:p>
        </w:tc>
      </w:tr>
      <w:tr w:rsidR="007A2817" w:rsidRPr="009E0FB8" w14:paraId="20CC60EB" w14:textId="77777777" w:rsidTr="006C69EC">
        <w:trPr>
          <w:trHeight w:val="254"/>
        </w:trPr>
        <w:tc>
          <w:tcPr>
            <w:tcW w:w="2694" w:type="dxa"/>
          </w:tcPr>
          <w:p w14:paraId="0957A6AE" w14:textId="24A1E025" w:rsidR="007A2817" w:rsidRPr="009E0FB8" w:rsidRDefault="007A2817" w:rsidP="009E0FB8">
            <w:pPr>
              <w:pStyle w:val="Default"/>
              <w:spacing w:before="60" w:after="60"/>
              <w:rPr>
                <w:color w:val="auto"/>
              </w:rPr>
            </w:pPr>
            <w:r w:rsidRPr="008333DE">
              <w:rPr>
                <w:sz w:val="22"/>
                <w:szCs w:val="22"/>
              </w:rPr>
              <w:t>Vanessa MacGregor</w:t>
            </w:r>
          </w:p>
        </w:tc>
        <w:tc>
          <w:tcPr>
            <w:tcW w:w="7229" w:type="dxa"/>
          </w:tcPr>
          <w:p w14:paraId="02A220AE" w14:textId="7120AD87" w:rsidR="007A2817" w:rsidRPr="009E0FB8" w:rsidRDefault="007A2817" w:rsidP="009E0FB8">
            <w:pPr>
              <w:pStyle w:val="Default"/>
              <w:spacing w:before="60" w:after="60"/>
              <w:rPr>
                <w:color w:val="auto"/>
              </w:rPr>
            </w:pPr>
            <w:r w:rsidRPr="008333DE">
              <w:rPr>
                <w:rStyle w:val="st1"/>
                <w:sz w:val="22"/>
                <w:szCs w:val="22"/>
                <w:lang w:eastAsia="en-US"/>
              </w:rPr>
              <w:t>Consultant in Communicable Disease Control, Public Health England, East Midlands Health Protection Team</w:t>
            </w:r>
          </w:p>
        </w:tc>
      </w:tr>
      <w:tr w:rsidR="007A2817" w:rsidRPr="009E0FB8" w14:paraId="12F315BA" w14:textId="77777777" w:rsidTr="006C69EC">
        <w:trPr>
          <w:trHeight w:val="267"/>
        </w:trPr>
        <w:tc>
          <w:tcPr>
            <w:tcW w:w="2694" w:type="dxa"/>
          </w:tcPr>
          <w:p w14:paraId="5BAEE992" w14:textId="0DADF5D4" w:rsidR="007A2817" w:rsidRPr="009E0FB8" w:rsidRDefault="007A2817" w:rsidP="009E0FB8">
            <w:pPr>
              <w:pStyle w:val="Default"/>
              <w:spacing w:before="60" w:after="60"/>
              <w:rPr>
                <w:color w:val="auto"/>
              </w:rPr>
            </w:pPr>
            <w:r w:rsidRPr="008333DE">
              <w:rPr>
                <w:sz w:val="22"/>
                <w:szCs w:val="22"/>
              </w:rPr>
              <w:t>Alison Mackenzie</w:t>
            </w:r>
          </w:p>
        </w:tc>
        <w:tc>
          <w:tcPr>
            <w:tcW w:w="7229" w:type="dxa"/>
          </w:tcPr>
          <w:p w14:paraId="60435A7B" w14:textId="65BC7B23" w:rsidR="007A2817" w:rsidRPr="009E0FB8" w:rsidRDefault="007A2817" w:rsidP="009E0FB8">
            <w:pPr>
              <w:spacing w:before="60" w:after="60"/>
              <w:rPr>
                <w:rFonts w:cs="Arial"/>
                <w:bCs/>
                <w:szCs w:val="24"/>
              </w:rPr>
            </w:pPr>
            <w:r w:rsidRPr="008333DE">
              <w:rPr>
                <w:rStyle w:val="st1"/>
                <w:sz w:val="22"/>
                <w:szCs w:val="22"/>
                <w:lang w:eastAsia="en-US"/>
              </w:rPr>
              <w:t>Consultant in Public Health Medicine, Screening and Immunisation Lead, Public Health England / NHS England South (South West)</w:t>
            </w:r>
          </w:p>
        </w:tc>
      </w:tr>
      <w:tr w:rsidR="007A2817" w:rsidRPr="009E0FB8" w14:paraId="7A4C89D1" w14:textId="77777777" w:rsidTr="006C69EC">
        <w:trPr>
          <w:trHeight w:val="267"/>
        </w:trPr>
        <w:tc>
          <w:tcPr>
            <w:tcW w:w="2694" w:type="dxa"/>
          </w:tcPr>
          <w:p w14:paraId="12952969" w14:textId="0ACCE59B" w:rsidR="007A2817" w:rsidRPr="009E0FB8" w:rsidRDefault="007A2817" w:rsidP="009E0FB8">
            <w:pPr>
              <w:pStyle w:val="Default"/>
              <w:spacing w:before="60" w:after="60"/>
              <w:rPr>
                <w:color w:val="auto"/>
              </w:rPr>
            </w:pPr>
            <w:r w:rsidRPr="008333DE">
              <w:rPr>
                <w:sz w:val="22"/>
                <w:szCs w:val="22"/>
              </w:rPr>
              <w:t>Gill Marsh</w:t>
            </w:r>
          </w:p>
        </w:tc>
        <w:tc>
          <w:tcPr>
            <w:tcW w:w="7229" w:type="dxa"/>
          </w:tcPr>
          <w:p w14:paraId="7F625464" w14:textId="71911065" w:rsidR="007A2817" w:rsidRPr="009E0FB8" w:rsidRDefault="007A2817" w:rsidP="009E0FB8">
            <w:pPr>
              <w:spacing w:before="60" w:after="60"/>
              <w:rPr>
                <w:rFonts w:cs="Arial"/>
                <w:szCs w:val="24"/>
              </w:rPr>
            </w:pPr>
            <w:r w:rsidRPr="008333DE">
              <w:rPr>
                <w:sz w:val="22"/>
                <w:szCs w:val="22"/>
              </w:rPr>
              <w:t xml:space="preserve">Senior Screening and Immunisation Manager Public Health England / </w:t>
            </w:r>
            <w:r>
              <w:rPr>
                <w:sz w:val="22"/>
                <w:szCs w:val="22"/>
              </w:rPr>
              <w:t>NHS England Lancashire and South Cumbria</w:t>
            </w:r>
          </w:p>
        </w:tc>
      </w:tr>
      <w:tr w:rsidR="007A2817" w:rsidRPr="009E0FB8" w14:paraId="556E2129" w14:textId="77777777" w:rsidTr="006C69EC">
        <w:trPr>
          <w:trHeight w:val="267"/>
        </w:trPr>
        <w:tc>
          <w:tcPr>
            <w:tcW w:w="2694" w:type="dxa"/>
          </w:tcPr>
          <w:p w14:paraId="6550231D" w14:textId="652EEF85" w:rsidR="007A2817" w:rsidRPr="009E0FB8" w:rsidRDefault="007A2817" w:rsidP="009E0FB8">
            <w:pPr>
              <w:pStyle w:val="Default"/>
              <w:spacing w:before="60" w:after="60"/>
              <w:rPr>
                <w:color w:val="auto"/>
              </w:rPr>
            </w:pPr>
            <w:r w:rsidRPr="008333DE">
              <w:rPr>
                <w:sz w:val="22"/>
                <w:szCs w:val="22"/>
              </w:rPr>
              <w:t>Lesley McFarlane</w:t>
            </w:r>
          </w:p>
        </w:tc>
        <w:tc>
          <w:tcPr>
            <w:tcW w:w="7229" w:type="dxa"/>
          </w:tcPr>
          <w:p w14:paraId="4E600A0B" w14:textId="54A7B2D5" w:rsidR="007A2817" w:rsidRPr="009E0FB8" w:rsidRDefault="007A2817" w:rsidP="009E0FB8">
            <w:pPr>
              <w:spacing w:before="60" w:after="60"/>
              <w:rPr>
                <w:rFonts w:cs="Arial"/>
                <w:bCs/>
                <w:szCs w:val="24"/>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7A2817" w:rsidRPr="009E0FB8" w14:paraId="597642F4" w14:textId="77777777" w:rsidTr="006C69EC">
        <w:trPr>
          <w:trHeight w:val="267"/>
        </w:trPr>
        <w:tc>
          <w:tcPr>
            <w:tcW w:w="2694" w:type="dxa"/>
          </w:tcPr>
          <w:p w14:paraId="7CFB0193" w14:textId="40847656" w:rsidR="007A2817" w:rsidRPr="009E0FB8" w:rsidRDefault="007A2817" w:rsidP="009E0FB8">
            <w:pPr>
              <w:spacing w:before="60" w:after="60"/>
              <w:rPr>
                <w:rFonts w:cs="Arial"/>
                <w:szCs w:val="24"/>
              </w:rPr>
            </w:pPr>
            <w:r w:rsidRPr="008333DE">
              <w:rPr>
                <w:sz w:val="22"/>
                <w:szCs w:val="22"/>
              </w:rPr>
              <w:t>Sally Millership</w:t>
            </w:r>
          </w:p>
        </w:tc>
        <w:tc>
          <w:tcPr>
            <w:tcW w:w="7229" w:type="dxa"/>
          </w:tcPr>
          <w:p w14:paraId="447862E2" w14:textId="34BC9CBB" w:rsidR="007A2817" w:rsidRPr="009E0FB8" w:rsidRDefault="007A2817" w:rsidP="009E0FB8">
            <w:pPr>
              <w:tabs>
                <w:tab w:val="left" w:pos="2320"/>
              </w:tabs>
              <w:spacing w:before="60" w:after="60"/>
              <w:rPr>
                <w:rFonts w:cs="Arial"/>
                <w:szCs w:val="24"/>
              </w:rPr>
            </w:pPr>
            <w:r w:rsidRPr="008333DE">
              <w:rPr>
                <w:color w:val="000000"/>
                <w:sz w:val="22"/>
                <w:szCs w:val="22"/>
              </w:rPr>
              <w:t>Consultant in Communicable Disease Control, Public Health England, East of England Health Protection Team</w:t>
            </w:r>
          </w:p>
        </w:tc>
      </w:tr>
      <w:tr w:rsidR="00531C40" w:rsidRPr="009E0FB8" w14:paraId="7972E5F5" w14:textId="77777777" w:rsidTr="007A2817">
        <w:trPr>
          <w:trHeight w:val="267"/>
        </w:trPr>
        <w:tc>
          <w:tcPr>
            <w:tcW w:w="2694" w:type="dxa"/>
          </w:tcPr>
          <w:p w14:paraId="4CFAF575" w14:textId="4DA67E9A" w:rsidR="00531C40" w:rsidRPr="008333DE" w:rsidRDefault="00531C40" w:rsidP="009E0FB8">
            <w:pPr>
              <w:spacing w:before="60" w:after="60"/>
              <w:rPr>
                <w:sz w:val="22"/>
                <w:szCs w:val="22"/>
              </w:rPr>
            </w:pPr>
            <w:r>
              <w:rPr>
                <w:sz w:val="22"/>
                <w:szCs w:val="22"/>
              </w:rPr>
              <w:t>Dipti Patel</w:t>
            </w:r>
          </w:p>
        </w:tc>
        <w:tc>
          <w:tcPr>
            <w:tcW w:w="7229" w:type="dxa"/>
          </w:tcPr>
          <w:p w14:paraId="52A75BA0" w14:textId="72D4BBC2" w:rsidR="00531C40" w:rsidRPr="008333DE" w:rsidRDefault="00531C40" w:rsidP="009E0FB8">
            <w:pPr>
              <w:tabs>
                <w:tab w:val="left" w:pos="2320"/>
              </w:tabs>
              <w:spacing w:before="60" w:after="60"/>
              <w:rPr>
                <w:rFonts w:cs="Arial"/>
                <w:sz w:val="22"/>
                <w:szCs w:val="22"/>
              </w:rPr>
            </w:pPr>
            <w:r>
              <w:rPr>
                <w:rFonts w:cs="Arial"/>
                <w:sz w:val="22"/>
                <w:szCs w:val="22"/>
              </w:rPr>
              <w:t>NaTHNaC Director, Public Health England</w:t>
            </w:r>
          </w:p>
        </w:tc>
      </w:tr>
      <w:tr w:rsidR="007A2817" w:rsidRPr="009E0FB8" w14:paraId="3659899A" w14:textId="77777777" w:rsidTr="007A2817">
        <w:trPr>
          <w:trHeight w:val="267"/>
        </w:trPr>
        <w:tc>
          <w:tcPr>
            <w:tcW w:w="2694" w:type="dxa"/>
          </w:tcPr>
          <w:p w14:paraId="05D7057E" w14:textId="2400AFDD" w:rsidR="007A2817" w:rsidRPr="00016476" w:rsidRDefault="007A2817" w:rsidP="009E0FB8">
            <w:pPr>
              <w:spacing w:before="60" w:after="60"/>
              <w:rPr>
                <w:sz w:val="22"/>
                <w:szCs w:val="22"/>
              </w:rPr>
            </w:pPr>
            <w:r w:rsidRPr="008333DE">
              <w:rPr>
                <w:sz w:val="22"/>
                <w:szCs w:val="22"/>
              </w:rPr>
              <w:t>Lisa Rees</w:t>
            </w:r>
          </w:p>
        </w:tc>
        <w:tc>
          <w:tcPr>
            <w:tcW w:w="7229" w:type="dxa"/>
          </w:tcPr>
          <w:p w14:paraId="24FA6DF8" w14:textId="49677FBC" w:rsidR="007A2817" w:rsidRPr="00016476" w:rsidRDefault="007A2817" w:rsidP="009E0FB8">
            <w:pPr>
              <w:tabs>
                <w:tab w:val="left" w:pos="2320"/>
              </w:tabs>
              <w:spacing w:before="60" w:after="60"/>
              <w:rPr>
                <w:sz w:val="22"/>
                <w:szCs w:val="22"/>
              </w:rPr>
            </w:pPr>
            <w:r w:rsidRPr="008333DE">
              <w:rPr>
                <w:rFonts w:cs="Arial"/>
                <w:sz w:val="22"/>
                <w:szCs w:val="22"/>
              </w:rPr>
              <w:t>Medicines Management Pharmacist, Bristol Clinical Commissioning Group</w:t>
            </w:r>
          </w:p>
        </w:tc>
      </w:tr>
      <w:tr w:rsidR="007A2817" w:rsidRPr="009E0FB8" w14:paraId="0F6B87DB" w14:textId="77777777" w:rsidTr="007A2817">
        <w:trPr>
          <w:trHeight w:val="267"/>
        </w:trPr>
        <w:tc>
          <w:tcPr>
            <w:tcW w:w="2694" w:type="dxa"/>
          </w:tcPr>
          <w:p w14:paraId="5FF45467" w14:textId="2B4786E5" w:rsidR="007A2817" w:rsidRPr="008333DE" w:rsidRDefault="007A2817" w:rsidP="009E0FB8">
            <w:pPr>
              <w:spacing w:before="60" w:after="60"/>
              <w:rPr>
                <w:sz w:val="22"/>
                <w:szCs w:val="22"/>
              </w:rPr>
            </w:pPr>
            <w:r>
              <w:rPr>
                <w:sz w:val="22"/>
                <w:szCs w:val="22"/>
              </w:rPr>
              <w:t>Tushar Shah</w:t>
            </w:r>
          </w:p>
        </w:tc>
        <w:tc>
          <w:tcPr>
            <w:tcW w:w="7229" w:type="dxa"/>
          </w:tcPr>
          <w:p w14:paraId="3B56E3BC" w14:textId="720ECAB7" w:rsidR="007A2817" w:rsidRPr="008333DE" w:rsidRDefault="007A2817" w:rsidP="009E0FB8">
            <w:pPr>
              <w:tabs>
                <w:tab w:val="left" w:pos="2320"/>
              </w:tabs>
              <w:spacing w:before="60" w:after="60"/>
              <w:rPr>
                <w:rFonts w:cs="Arial"/>
                <w:sz w:val="22"/>
                <w:szCs w:val="22"/>
              </w:rPr>
            </w:pPr>
            <w:r w:rsidRPr="00CE7D2B">
              <w:rPr>
                <w:color w:val="000000"/>
                <w:sz w:val="22"/>
                <w:szCs w:val="22"/>
              </w:rPr>
              <w:t>Pharmacy Advisor, NHS England London Region</w:t>
            </w:r>
            <w:r>
              <w:rPr>
                <w:color w:val="1F497D"/>
              </w:rPr>
              <w:t xml:space="preserve"> </w:t>
            </w:r>
          </w:p>
        </w:tc>
      </w:tr>
      <w:tr w:rsidR="007A2817" w:rsidRPr="009E0FB8" w14:paraId="66ED268E" w14:textId="77777777" w:rsidTr="007A2817">
        <w:trPr>
          <w:trHeight w:val="267"/>
        </w:trPr>
        <w:tc>
          <w:tcPr>
            <w:tcW w:w="2694" w:type="dxa"/>
          </w:tcPr>
          <w:p w14:paraId="75B0C1E5" w14:textId="32ED13C4" w:rsidR="007A2817" w:rsidRDefault="007A2817" w:rsidP="009E0FB8">
            <w:pPr>
              <w:spacing w:before="60" w:after="60"/>
              <w:rPr>
                <w:sz w:val="22"/>
                <w:szCs w:val="22"/>
              </w:rPr>
            </w:pPr>
            <w:r w:rsidRPr="008333DE">
              <w:rPr>
                <w:sz w:val="22"/>
                <w:szCs w:val="22"/>
              </w:rPr>
              <w:t>Kelly Stoker</w:t>
            </w:r>
          </w:p>
        </w:tc>
        <w:tc>
          <w:tcPr>
            <w:tcW w:w="7229" w:type="dxa"/>
          </w:tcPr>
          <w:p w14:paraId="190B70A5" w14:textId="4C1C1B8C" w:rsidR="007A2817" w:rsidRPr="00CE7D2B" w:rsidRDefault="007A2817" w:rsidP="009E0FB8">
            <w:pPr>
              <w:tabs>
                <w:tab w:val="left" w:pos="2320"/>
              </w:tabs>
              <w:spacing w:before="60" w:after="60"/>
              <w:rPr>
                <w:color w:val="000000"/>
                <w:sz w:val="22"/>
                <w:szCs w:val="22"/>
              </w:rPr>
            </w:pPr>
            <w:r w:rsidRPr="008333DE">
              <w:rPr>
                <w:rFonts w:cs="Arial"/>
                <w:sz w:val="22"/>
                <w:szCs w:val="22"/>
              </w:rPr>
              <w:t>Senior Health Protection Nurse, North East Health Protection Team, Public Health England Centre North East</w:t>
            </w:r>
          </w:p>
        </w:tc>
      </w:tr>
      <w:tr w:rsidR="00340725" w:rsidRPr="009E0FB8" w14:paraId="2C890758" w14:textId="77777777" w:rsidTr="00FF203E">
        <w:trPr>
          <w:trHeight w:val="267"/>
        </w:trPr>
        <w:tc>
          <w:tcPr>
            <w:tcW w:w="2694" w:type="dxa"/>
            <w:vAlign w:val="center"/>
          </w:tcPr>
          <w:p w14:paraId="70E55C62" w14:textId="5317728D" w:rsidR="00340725" w:rsidRPr="008333DE" w:rsidRDefault="00340725" w:rsidP="009E0FB8">
            <w:pPr>
              <w:spacing w:before="60" w:after="60"/>
              <w:rPr>
                <w:sz w:val="22"/>
                <w:szCs w:val="22"/>
              </w:rPr>
            </w:pPr>
            <w:r w:rsidRPr="002E6857">
              <w:rPr>
                <w:sz w:val="22"/>
                <w:szCs w:val="22"/>
              </w:rPr>
              <w:t>Sharon Webb</w:t>
            </w:r>
          </w:p>
        </w:tc>
        <w:tc>
          <w:tcPr>
            <w:tcW w:w="7229" w:type="dxa"/>
            <w:vAlign w:val="center"/>
          </w:tcPr>
          <w:p w14:paraId="2A16174F" w14:textId="459260DE" w:rsidR="00340725" w:rsidRPr="008333DE" w:rsidRDefault="00340725" w:rsidP="009E0FB8">
            <w:pPr>
              <w:tabs>
                <w:tab w:val="left" w:pos="2320"/>
              </w:tabs>
              <w:spacing w:before="60" w:after="60"/>
              <w:rPr>
                <w:rFonts w:cs="Arial"/>
                <w:sz w:val="22"/>
                <w:szCs w:val="22"/>
              </w:rPr>
            </w:pPr>
            <w:r w:rsidRPr="002E6857">
              <w:rPr>
                <w:rFonts w:cs="Arial"/>
                <w:sz w:val="22"/>
                <w:szCs w:val="22"/>
              </w:rPr>
              <w:t>Programme Manager - IDPS , NHS Screening Programmes, Public Health England (Midwife)</w:t>
            </w:r>
          </w:p>
        </w:tc>
      </w:tr>
    </w:tbl>
    <w:p w14:paraId="518D801E" w14:textId="77777777" w:rsidR="001C4BB2" w:rsidRDefault="001C4BB2" w:rsidP="001C4BB2">
      <w:pPr>
        <w:overflowPunct/>
        <w:autoSpaceDE/>
        <w:autoSpaceDN/>
        <w:adjustRightInd/>
        <w:textAlignment w:val="auto"/>
        <w:rPr>
          <w:rFonts w:cs="Arial"/>
          <w:b/>
          <w:szCs w:val="24"/>
        </w:rPr>
      </w:pPr>
      <w:r>
        <w:rPr>
          <w:rFonts w:cs="Arial"/>
          <w:b/>
          <w:szCs w:val="24"/>
        </w:rPr>
        <w:br w:type="page"/>
      </w:r>
    </w:p>
    <w:p w14:paraId="2DA65C9B" w14:textId="2F43A7EA" w:rsidR="00BC6F32" w:rsidRPr="00E161EA" w:rsidRDefault="004F0005" w:rsidP="000545F3">
      <w:pPr>
        <w:pStyle w:val="ListParagraph"/>
        <w:numPr>
          <w:ilvl w:val="0"/>
          <w:numId w:val="3"/>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5D1159DC" w:rsidR="00BC6F32" w:rsidRPr="00E161EA" w:rsidRDefault="0067497B" w:rsidP="00E161EA">
      <w:pPr>
        <w:pStyle w:val="Title"/>
        <w:jc w:val="left"/>
        <w:rPr>
          <w:rStyle w:val="yiv436687422763514114-05042013"/>
          <w:rFonts w:ascii="Arial" w:hAnsi="Arial" w:cs="Arial"/>
          <w:b w:val="0"/>
          <w:szCs w:val="24"/>
          <w:lang w:eastAsia="en-GB"/>
        </w:rPr>
      </w:pPr>
      <w:permStart w:id="1763013308" w:edGrp="everyone"/>
      <w:r w:rsidRPr="00E161EA">
        <w:rPr>
          <w:rStyle w:val="yiv436687422763514114-05042013"/>
          <w:rFonts w:ascii="Arial" w:hAnsi="Arial" w:cs="Arial"/>
          <w:szCs w:val="24"/>
        </w:rPr>
        <w:t xml:space="preserve">INSERT AUTHORISING BODY </w:t>
      </w:r>
      <w:r w:rsidR="0022054B" w:rsidRPr="00E161EA">
        <w:rPr>
          <w:rStyle w:val="yiv436687422763514114-05042013"/>
          <w:rFonts w:ascii="Arial" w:hAnsi="Arial" w:cs="Arial"/>
          <w:szCs w:val="24"/>
        </w:rPr>
        <w:t xml:space="preserve">NAME </w:t>
      </w:r>
      <w:permEnd w:id="1763013308"/>
      <w:r w:rsidR="0022054B" w:rsidRPr="00E161EA">
        <w:rPr>
          <w:rStyle w:val="yiv436687422763514114-05042013"/>
          <w:rFonts w:ascii="Arial" w:hAnsi="Arial" w:cs="Arial"/>
          <w:b w:val="0"/>
          <w:szCs w:val="24"/>
        </w:rPr>
        <w:t>authorises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1677B66E" w:rsidR="00BC6F32" w:rsidRPr="00BF617E" w:rsidRDefault="00BC6F32" w:rsidP="00000A1D">
            <w:pPr>
              <w:pStyle w:val="Title"/>
              <w:jc w:val="left"/>
              <w:rPr>
                <w:rFonts w:ascii="Arial" w:hAnsi="Arial" w:cs="Arial"/>
                <w:b w:val="0"/>
                <w:sz w:val="22"/>
                <w:szCs w:val="22"/>
              </w:rPr>
            </w:pPr>
            <w:permStart w:id="2006915926" w:edGrp="everyone"/>
            <w:r w:rsidRPr="00BF617E">
              <w:rPr>
                <w:rFonts w:ascii="Arial" w:hAnsi="Arial" w:cs="Arial"/>
                <w:b w:val="0"/>
                <w:sz w:val="22"/>
                <w:szCs w:val="22"/>
              </w:rPr>
              <w:t xml:space="preserve">eg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ermEnd w:id="2006915926"/>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1" w:name="LimitationsToAuthorisation"/>
            <w:r w:rsidRPr="00E161EA">
              <w:rPr>
                <w:rFonts w:ascii="Arial" w:hAnsi="Arial" w:cs="Arial"/>
                <w:b w:val="0"/>
                <w:szCs w:val="24"/>
              </w:rPr>
              <w:t>Limitations to authorisation</w:t>
            </w:r>
            <w:bookmarkEnd w:id="1"/>
          </w:p>
        </w:tc>
      </w:tr>
      <w:tr w:rsidR="00BC6F32" w:rsidRPr="00BF617E" w14:paraId="3BEBF3C9" w14:textId="77777777" w:rsidTr="00B32ECD">
        <w:trPr>
          <w:trHeight w:val="1561"/>
        </w:trPr>
        <w:tc>
          <w:tcPr>
            <w:tcW w:w="9923" w:type="dxa"/>
          </w:tcPr>
          <w:p w14:paraId="49E9BD6A" w14:textId="77777777" w:rsidR="009C5F32" w:rsidRDefault="00BC6F32" w:rsidP="00D300D1">
            <w:pPr>
              <w:pStyle w:val="Title"/>
              <w:jc w:val="left"/>
              <w:rPr>
                <w:rFonts w:ascii="Arial" w:hAnsi="Arial" w:cs="Arial"/>
                <w:b w:val="0"/>
                <w:sz w:val="22"/>
                <w:szCs w:val="22"/>
              </w:rPr>
            </w:pPr>
            <w:permStart w:id="797312297" w:edGrp="everyone"/>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ermEnd w:id="797312297"/>
          <w:p w14:paraId="64AF80C5" w14:textId="77777777" w:rsidR="0067497B" w:rsidRPr="00BF617E" w:rsidRDefault="0067497B" w:rsidP="00D300D1">
            <w:pPr>
              <w:pStyle w:val="Title"/>
              <w:jc w:val="left"/>
              <w:rPr>
                <w:rFonts w:ascii="Arial" w:hAnsi="Arial" w:cs="Arial"/>
                <w:b w:val="0"/>
                <w:sz w:val="22"/>
                <w:szCs w:val="22"/>
              </w:rPr>
            </w:pPr>
          </w:p>
        </w:tc>
      </w:tr>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099E542F" w:rsidR="00BC6F32" w:rsidRPr="00080471" w:rsidRDefault="008E778C" w:rsidP="00000A1D">
            <w:pPr>
              <w:pStyle w:val="Title"/>
              <w:jc w:val="left"/>
              <w:rPr>
                <w:rFonts w:ascii="Arial" w:hAnsi="Arial" w:cs="Arial"/>
                <w:b w:val="0"/>
                <w:color w:val="D9D9D9" w:themeColor="background1" w:themeShade="D9"/>
                <w:sz w:val="22"/>
                <w:szCs w:val="22"/>
              </w:rPr>
            </w:pPr>
            <w:permStart w:id="1054422424" w:edGrp="everyone" w:colFirst="0" w:colLast="0"/>
            <w:permStart w:id="324688635" w:edGrp="everyone" w:colFirst="1" w:colLast="1"/>
            <w:permStart w:id="1890262467" w:edGrp="everyone" w:colFirst="2" w:colLast="2"/>
            <w:permStart w:id="938026854" w:edGrp="everyone" w:colFirst="3" w:colLast="3"/>
            <w:r>
              <w:rPr>
                <w:rFonts w:ascii="Arial" w:hAnsi="Arial" w:cs="Arial"/>
                <w:b w:val="0"/>
                <w:color w:val="D9D9D9" w:themeColor="background1" w:themeShade="D9"/>
                <w:sz w:val="22"/>
                <w:szCs w:val="22"/>
              </w:rPr>
              <w:t xml:space="preserve">Complete eg NHS England </w:t>
            </w:r>
            <w:r w:rsidR="00BC6F32" w:rsidRPr="00080471">
              <w:rPr>
                <w:rFonts w:ascii="Arial" w:hAnsi="Arial" w:cs="Arial"/>
                <w:b w:val="0"/>
                <w:color w:val="D9D9D9" w:themeColor="background1" w:themeShade="D9"/>
                <w:sz w:val="22"/>
                <w:szCs w:val="22"/>
              </w:rPr>
              <w:t>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054422424"/>
      <w:permEnd w:id="324688635"/>
      <w:permEnd w:id="1890262467"/>
      <w:permEnd w:id="938026854"/>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994588079" w:edGrp="everyone" w:colFirst="0" w:colLast="0"/>
            <w:permStart w:id="1179416418" w:edGrp="everyone" w:colFirst="1" w:colLast="1"/>
            <w:permStart w:id="1631785650" w:edGrp="everyone" w:colFirst="2" w:colLast="2"/>
            <w:permStart w:id="1740052473" w:edGrp="everyone" w:colFirst="3" w:colLast="3"/>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793384118" w:edGrp="everyone" w:colFirst="0" w:colLast="0"/>
            <w:permStart w:id="2093703097" w:edGrp="everyone" w:colFirst="1" w:colLast="1"/>
            <w:permStart w:id="1512265669" w:edGrp="everyone" w:colFirst="2" w:colLast="2"/>
            <w:permStart w:id="788343811" w:edGrp="everyone" w:colFirst="3" w:colLast="3"/>
            <w:permEnd w:id="994588079"/>
            <w:permEnd w:id="1179416418"/>
            <w:permEnd w:id="1631785650"/>
            <w:permEnd w:id="1740052473"/>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001475508" w:edGrp="everyone" w:colFirst="0" w:colLast="0"/>
            <w:permStart w:id="579479208" w:edGrp="everyone" w:colFirst="1" w:colLast="1"/>
            <w:permStart w:id="1814970297" w:edGrp="everyone" w:colFirst="2" w:colLast="2"/>
            <w:permStart w:id="1473536395" w:edGrp="everyone" w:colFirst="3" w:colLast="3"/>
            <w:permEnd w:id="793384118"/>
            <w:permEnd w:id="2093703097"/>
            <w:permEnd w:id="1512265669"/>
            <w:permEnd w:id="788343811"/>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536701245" w:edGrp="everyone" w:colFirst="0" w:colLast="0"/>
            <w:permStart w:id="1525945910" w:edGrp="everyone" w:colFirst="1" w:colLast="1"/>
            <w:permStart w:id="1542094388" w:edGrp="everyone" w:colFirst="2" w:colLast="2"/>
            <w:permStart w:id="1706916150" w:edGrp="everyone" w:colFirst="3" w:colLast="3"/>
            <w:permEnd w:id="1001475508"/>
            <w:permEnd w:id="579479208"/>
            <w:permEnd w:id="1814970297"/>
            <w:permEnd w:id="1473536395"/>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536701245"/>
      <w:permEnd w:id="1525945910"/>
      <w:permEnd w:id="1542094388"/>
      <w:permEnd w:id="1706916150"/>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541562923" w:edGrp="everyone"/>
      <w:r w:rsidRPr="00080471">
        <w:rPr>
          <w:rFonts w:cs="Arial"/>
          <w:szCs w:val="24"/>
        </w:rPr>
        <w:t>Local enquiries regarding the use of this PGD may be directed to…………….</w:t>
      </w:r>
    </w:p>
    <w:permEnd w:id="1541562923"/>
    <w:p w14:paraId="140C3B11" w14:textId="1BBC32AE"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0545F3">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6FA4AF4B" w14:textId="77777777" w:rsidR="00F92CAB" w:rsidRDefault="00192DA1" w:rsidP="00F92CAB">
            <w:pPr>
              <w:spacing w:before="120"/>
              <w:rPr>
                <w:rFonts w:cs="Arial"/>
                <w:sz w:val="22"/>
                <w:szCs w:val="22"/>
              </w:rPr>
            </w:pPr>
            <w:r w:rsidRPr="00F92CAB">
              <w:rPr>
                <w:rFonts w:cs="Arial"/>
                <w:sz w:val="22"/>
                <w:szCs w:val="22"/>
              </w:rPr>
              <w:t>Registered professional w</w:t>
            </w:r>
            <w:r w:rsidR="00F92CAB">
              <w:rPr>
                <w:rFonts w:cs="Arial"/>
                <w:sz w:val="22"/>
                <w:szCs w:val="22"/>
              </w:rPr>
              <w:t>ith one of the following bodies:</w:t>
            </w:r>
          </w:p>
          <w:p w14:paraId="4BE6216B" w14:textId="77777777" w:rsidR="00F92CAB" w:rsidRPr="00F92CAB" w:rsidRDefault="00192DA1" w:rsidP="000545F3">
            <w:pPr>
              <w:pStyle w:val="ListParagraph"/>
              <w:numPr>
                <w:ilvl w:val="0"/>
                <w:numId w:val="7"/>
              </w:numPr>
              <w:ind w:left="324" w:hanging="284"/>
              <w:rPr>
                <w:rFonts w:ascii="Times New Roman" w:hAnsi="Times New Roman"/>
                <w:sz w:val="22"/>
                <w:szCs w:val="22"/>
              </w:rPr>
            </w:pPr>
            <w:r w:rsidRPr="00F92CAB">
              <w:rPr>
                <w:rFonts w:cs="Arial"/>
                <w:sz w:val="22"/>
                <w:szCs w:val="22"/>
              </w:rPr>
              <w:t>nurses and midwives currently registered with the Nursing and Midwifery Council (NMC)</w:t>
            </w:r>
          </w:p>
          <w:p w14:paraId="3948D522" w14:textId="04E19C10" w:rsidR="00F92CAB" w:rsidRPr="00F92CAB" w:rsidRDefault="00192DA1" w:rsidP="000545F3">
            <w:pPr>
              <w:pStyle w:val="ListParagraph"/>
              <w:numPr>
                <w:ilvl w:val="0"/>
                <w:numId w:val="7"/>
              </w:numPr>
              <w:spacing w:before="120"/>
              <w:ind w:left="324" w:hanging="283"/>
              <w:rPr>
                <w:rFonts w:ascii="Times New Roman" w:hAnsi="Times New Roman"/>
                <w:sz w:val="22"/>
                <w:szCs w:val="22"/>
              </w:rPr>
            </w:pPr>
            <w:r w:rsidRPr="00F92CAB">
              <w:rPr>
                <w:rFonts w:cs="Arial"/>
                <w:sz w:val="22"/>
                <w:szCs w:val="22"/>
              </w:rPr>
              <w:t>pharmacists currently registered with the General Pharmaceutical Council (GPhC)</w:t>
            </w:r>
            <w:r w:rsidR="00AC48BE">
              <w:rPr>
                <w:rFonts w:cs="Arial"/>
                <w:sz w:val="22"/>
                <w:szCs w:val="22"/>
              </w:rPr>
              <w:t xml:space="preserve"> </w:t>
            </w:r>
            <w:r w:rsidR="00AC48BE" w:rsidRPr="005D31C3">
              <w:rPr>
                <w:rFonts w:cs="Arial"/>
                <w:sz w:val="22"/>
                <w:szCs w:val="22"/>
              </w:rPr>
              <w:t>(Note: This PGD is not relevant to privately provided community pharmacy services)</w:t>
            </w:r>
          </w:p>
          <w:p w14:paraId="4DE58FA1" w14:textId="5E2CCC54" w:rsidR="00F92CAB" w:rsidRPr="00F92CAB" w:rsidRDefault="00236146" w:rsidP="000545F3">
            <w:pPr>
              <w:pStyle w:val="ListParagraph"/>
              <w:numPr>
                <w:ilvl w:val="0"/>
                <w:numId w:val="7"/>
              </w:numPr>
              <w:spacing w:before="120"/>
              <w:ind w:left="324" w:hanging="283"/>
              <w:rPr>
                <w:rFonts w:cs="Arial"/>
                <w:sz w:val="22"/>
                <w:szCs w:val="22"/>
              </w:rPr>
            </w:pPr>
            <w:r>
              <w:rPr>
                <w:rFonts w:cs="Arial"/>
                <w:sz w:val="22"/>
                <w:szCs w:val="22"/>
              </w:rPr>
              <w:t>paramedics and</w:t>
            </w:r>
            <w:r w:rsidR="00192DA1" w:rsidRPr="00F92CAB">
              <w:rPr>
                <w:rFonts w:cs="Arial"/>
                <w:sz w:val="22"/>
                <w:szCs w:val="22"/>
              </w:rPr>
              <w:t xml:space="preserve"> physiotherapists currently registered with</w:t>
            </w:r>
            <w:r w:rsidR="00AC48BE">
              <w:rPr>
                <w:rFonts w:cs="Arial"/>
                <w:sz w:val="22"/>
                <w:szCs w:val="22"/>
              </w:rPr>
              <w:t xml:space="preserve"> the</w:t>
            </w:r>
            <w:r w:rsidR="00192DA1" w:rsidRPr="00F92CAB">
              <w:rPr>
                <w:rFonts w:cs="Arial"/>
                <w:sz w:val="22"/>
                <w:szCs w:val="22"/>
              </w:rPr>
              <w:t xml:space="preserve"> Health and Care Professions Council (HCPC)</w:t>
            </w:r>
          </w:p>
          <w:p w14:paraId="604D2E7E" w14:textId="47660CC5" w:rsidR="00192DA1" w:rsidRPr="00F92CAB" w:rsidRDefault="00192DA1" w:rsidP="00F92CAB">
            <w:pPr>
              <w:spacing w:before="120" w:after="120"/>
              <w:ind w:left="4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sidR="00B406BE">
              <w:rPr>
                <w:rFonts w:cs="Arial"/>
                <w:sz w:val="22"/>
                <w:szCs w:val="22"/>
              </w:rPr>
              <w:t>.</w:t>
            </w:r>
            <w:r w:rsidRPr="00F92CAB">
              <w:rPr>
                <w:rFonts w:cs="Arial"/>
                <w:sz w:val="22"/>
                <w:szCs w:val="22"/>
              </w:rPr>
              <w:t xml:space="preserve"> </w:t>
            </w:r>
          </w:p>
          <w:p w14:paraId="65908D3C" w14:textId="2F6FC4E5" w:rsidR="00573709" w:rsidRPr="00F92CAB" w:rsidRDefault="00192DA1" w:rsidP="00F92CAB">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1BE5D2D9" w:rsidR="003225CC" w:rsidRPr="00DF40E8" w:rsidRDefault="003225CC" w:rsidP="003225CC">
            <w:pPr>
              <w:pStyle w:val="Header"/>
              <w:tabs>
                <w:tab w:val="left" w:pos="720"/>
              </w:tabs>
              <w:spacing w:before="120" w:after="120"/>
              <w:rPr>
                <w:rFonts w:ascii="Arial" w:hAnsi="Arial" w:cs="Arial"/>
                <w:b/>
                <w:sz w:val="22"/>
                <w:szCs w:val="22"/>
              </w:rPr>
            </w:pPr>
            <w:bookmarkStart w:id="2" w:name="StaffAdditionalRequirements"/>
            <w:r w:rsidRPr="00DF40E8">
              <w:rPr>
                <w:rFonts w:ascii="Arial" w:hAnsi="Arial" w:cs="Arial"/>
                <w:b/>
                <w:sz w:val="22"/>
                <w:szCs w:val="22"/>
              </w:rPr>
              <w:t>Additional requirements</w:t>
            </w:r>
            <w:bookmarkEnd w:id="2"/>
          </w:p>
        </w:tc>
        <w:tc>
          <w:tcPr>
            <w:tcW w:w="6953" w:type="dxa"/>
          </w:tcPr>
          <w:p w14:paraId="336E1214" w14:textId="1D02D934" w:rsidR="004C634B" w:rsidRPr="004C634B" w:rsidRDefault="004C634B" w:rsidP="004C634B">
            <w:pPr>
              <w:spacing w:before="120"/>
              <w:contextualSpacing/>
              <w:rPr>
                <w:rFonts w:cs="Arial"/>
                <w:sz w:val="22"/>
              </w:rPr>
            </w:pPr>
            <w:r>
              <w:rPr>
                <w:rFonts w:cs="Arial"/>
                <w:sz w:val="22"/>
              </w:rPr>
              <w:t>Additionally practitioners:</w:t>
            </w:r>
          </w:p>
          <w:p w14:paraId="20B86056" w14:textId="6DE148C6" w:rsidR="003225CC" w:rsidRPr="00AF5164" w:rsidRDefault="004C634B" w:rsidP="000545F3">
            <w:pPr>
              <w:pStyle w:val="ListParagraph"/>
              <w:numPr>
                <w:ilvl w:val="0"/>
                <w:numId w:val="1"/>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1452C6">
              <w:rPr>
                <w:rFonts w:cs="Arial"/>
                <w:sz w:val="22"/>
              </w:rPr>
              <w:t>PGD</w:t>
            </w:r>
            <w:r w:rsidR="003225CC" w:rsidRPr="00AF5164">
              <w:rPr>
                <w:rFonts w:cs="Arial"/>
                <w:sz w:val="22"/>
              </w:rPr>
              <w:t xml:space="preserve"> before working to it</w:t>
            </w:r>
          </w:p>
          <w:p w14:paraId="5C547944" w14:textId="77777777" w:rsidR="003225CC"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FBCFE1F" w14:textId="7BDBD92F" w:rsidR="003225CC" w:rsidRPr="00E54F90"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ing patient group directions)</w:t>
            </w:r>
          </w:p>
          <w:p w14:paraId="006DABA1" w14:textId="37BF8C51" w:rsidR="003225CC"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2D257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hyperlink r:id="rId15"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14:paraId="0A5DF417" w14:textId="2FA5B710" w:rsidR="003225CC" w:rsidRPr="00D04B35"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6" w:history="1">
              <w:r w:rsidR="00B35106">
                <w:rPr>
                  <w:rStyle w:val="Hyperlink"/>
                  <w:rFonts w:ascii="Arial" w:hAnsi="Arial" w:cs="Arial"/>
                  <w:sz w:val="22"/>
                  <w:szCs w:val="22"/>
                </w:rPr>
                <w:t>National Minimum Standards for Immunisation Training</w:t>
              </w:r>
            </w:hyperlink>
          </w:p>
          <w:p w14:paraId="5169DD76" w14:textId="77777777" w:rsidR="006318C5" w:rsidRPr="006318C5"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77777777" w:rsidR="003225CC" w:rsidRPr="006318C5"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789AE193" w14:textId="77777777" w:rsidR="003225CC"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4BD1DDFF" w:rsidR="003225CC" w:rsidRPr="00B7770B" w:rsidRDefault="006318C5"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B37131">
              <w:rPr>
                <w:rFonts w:ascii="Arial" w:hAnsi="Arial" w:cs="Arial"/>
                <w:sz w:val="22"/>
                <w:szCs w:val="22"/>
              </w:rPr>
              <w:t>PGD</w:t>
            </w:r>
            <w:r w:rsidR="003225CC" w:rsidRPr="006318C5">
              <w:rPr>
                <w:rFonts w:ascii="Arial" w:hAnsi="Arial" w:cs="Arial"/>
                <w:sz w:val="22"/>
                <w:szCs w:val="22"/>
              </w:rPr>
              <w:t xml:space="preserve"> and associated online resources</w:t>
            </w:r>
          </w:p>
          <w:p w14:paraId="10C21587" w14:textId="77777777" w:rsidR="003225CC" w:rsidRPr="002D2A15" w:rsidRDefault="004C634B" w:rsidP="000545F3">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073D8F14" w:rsidR="003225CC" w:rsidRPr="007914FD" w:rsidRDefault="003225CC" w:rsidP="006433BC">
            <w:pPr>
              <w:spacing w:after="120"/>
              <w:rPr>
                <w:rFonts w:cs="Arial"/>
                <w:b/>
                <w:bCs/>
                <w:sz w:val="22"/>
                <w:szCs w:val="22"/>
              </w:rPr>
            </w:pPr>
            <w:r w:rsidRPr="00D87FC8">
              <w:rPr>
                <w:rFonts w:cs="Arial"/>
                <w:b/>
                <w:bCs/>
                <w:sz w:val="22"/>
                <w:szCs w:val="22"/>
              </w:rPr>
              <w:t>THE</w:t>
            </w:r>
            <w:r w:rsidR="0031703D">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77777777"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1452C6">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545F3">
      <w:pPr>
        <w:pStyle w:val="ListParagraph"/>
        <w:numPr>
          <w:ilvl w:val="0"/>
          <w:numId w:val="3"/>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ECF52A8" w14:textId="21157480" w:rsidR="00DE3C95" w:rsidRPr="00953116" w:rsidRDefault="00003F8E" w:rsidP="006B46EF">
            <w:pPr>
              <w:spacing w:before="120" w:after="120"/>
              <w:rPr>
                <w:rFonts w:cs="Arial"/>
                <w:sz w:val="22"/>
                <w:szCs w:val="22"/>
              </w:rPr>
            </w:pPr>
            <w:r w:rsidRPr="00513DE4">
              <w:rPr>
                <w:rFonts w:cs="Arial"/>
                <w:sz w:val="22"/>
                <w:szCs w:val="22"/>
              </w:rPr>
              <w:t xml:space="preserve">Indicated for the active immunisation of individuals </w:t>
            </w:r>
            <w:r>
              <w:rPr>
                <w:rFonts w:cs="Arial"/>
                <w:sz w:val="22"/>
                <w:szCs w:val="22"/>
              </w:rPr>
              <w:t xml:space="preserve">against </w:t>
            </w:r>
            <w:r w:rsidR="00953116" w:rsidRPr="00953116">
              <w:rPr>
                <w:rFonts w:cs="Arial"/>
                <w:i/>
                <w:sz w:val="22"/>
                <w:szCs w:val="22"/>
              </w:rPr>
              <w:t>S. typhi</w:t>
            </w:r>
            <w:r>
              <w:rPr>
                <w:rFonts w:cs="Arial"/>
                <w:sz w:val="22"/>
                <w:szCs w:val="22"/>
              </w:rPr>
              <w:t xml:space="preserve"> infection in accordance with national</w:t>
            </w:r>
            <w:r w:rsidRPr="00513DE4">
              <w:rPr>
                <w:rFonts w:cs="Arial"/>
                <w:sz w:val="22"/>
                <w:szCs w:val="22"/>
              </w:rPr>
              <w:t xml:space="preserve"> recommendations </w:t>
            </w:r>
            <w:r w:rsidR="00953116">
              <w:rPr>
                <w:rFonts w:cs="Arial"/>
                <w:sz w:val="22"/>
                <w:szCs w:val="22"/>
              </w:rPr>
              <w:t xml:space="preserve">in </w:t>
            </w:r>
            <w:hyperlink r:id="rId17" w:history="1">
              <w:r w:rsidR="00953116" w:rsidRPr="00953116">
                <w:rPr>
                  <w:rStyle w:val="Hyperlink"/>
                  <w:rFonts w:cs="Arial"/>
                  <w:sz w:val="22"/>
                  <w:szCs w:val="22"/>
                </w:rPr>
                <w:t>Chapter 33</w:t>
              </w:r>
            </w:hyperlink>
            <w:r w:rsidRPr="00946D9C">
              <w:rPr>
                <w:rFonts w:cs="Arial"/>
                <w:sz w:val="22"/>
                <w:szCs w:val="22"/>
              </w:rPr>
              <w:t xml:space="preserve"> of Immunisation Against Infectious Disease: “The Green Book”</w:t>
            </w:r>
            <w:r w:rsidR="00607562">
              <w:rPr>
                <w:rFonts w:cs="Arial"/>
                <w:sz w:val="22"/>
                <w:szCs w:val="22"/>
              </w:rPr>
              <w:t xml:space="preserve"> and</w:t>
            </w:r>
            <w:r w:rsidR="00946D9C" w:rsidRPr="00946D9C">
              <w:rPr>
                <w:rFonts w:cs="Arial"/>
                <w:sz w:val="22"/>
                <w:szCs w:val="22"/>
              </w:rPr>
              <w:t xml:space="preserve"> </w:t>
            </w:r>
            <w:hyperlink r:id="rId18" w:history="1">
              <w:r w:rsidR="00607562" w:rsidRPr="00607562">
                <w:rPr>
                  <w:rStyle w:val="Hyperlink"/>
                  <w:rFonts w:cs="Arial"/>
                  <w:sz w:val="22"/>
                  <w:szCs w:val="22"/>
                </w:rPr>
                <w:t>NaTHNaC</w:t>
              </w:r>
            </w:hyperlink>
            <w:r w:rsidR="00607562">
              <w:rPr>
                <w:rFonts w:cs="Arial"/>
                <w:sz w:val="22"/>
                <w:szCs w:val="22"/>
              </w:rPr>
              <w:t xml:space="preserve"> </w:t>
            </w:r>
            <w:r w:rsidR="00946D9C" w:rsidRPr="00946D9C">
              <w:rPr>
                <w:rFonts w:cs="Arial"/>
                <w:sz w:val="22"/>
                <w:szCs w:val="22"/>
              </w:rPr>
              <w:t xml:space="preserve">recommendations for </w:t>
            </w:r>
            <w:r w:rsidR="00953116">
              <w:rPr>
                <w:rFonts w:cs="Arial"/>
                <w:sz w:val="22"/>
                <w:szCs w:val="22"/>
              </w:rPr>
              <w:t>typhoid</w:t>
            </w:r>
            <w:r w:rsidR="00946D9C" w:rsidRPr="00946D9C">
              <w:rPr>
                <w:rFonts w:cs="Arial"/>
                <w:sz w:val="22"/>
                <w:szCs w:val="22"/>
              </w:rPr>
              <w:t xml:space="preserve"> vaccination for travel</w:t>
            </w:r>
            <w:r w:rsidR="00953116">
              <w:rPr>
                <w:rFonts w:cs="Arial"/>
                <w:sz w:val="22"/>
                <w:szCs w:val="22"/>
              </w:rPr>
              <w:t>.</w:t>
            </w:r>
            <w:r w:rsidR="00DE3C95" w:rsidRPr="00953116">
              <w:rPr>
                <w:rFonts w:cs="Arial"/>
                <w:sz w:val="22"/>
                <w:szCs w:val="22"/>
              </w:rPr>
              <w:t xml:space="preserve"> </w:t>
            </w:r>
          </w:p>
        </w:tc>
      </w:tr>
      <w:tr w:rsidR="00A956FD" w:rsidRPr="00A956FD" w14:paraId="6CDCD585" w14:textId="77777777" w:rsidTr="00D7770B">
        <w:tc>
          <w:tcPr>
            <w:tcW w:w="2977" w:type="dxa"/>
            <w:tcBorders>
              <w:bottom w:val="single" w:sz="6" w:space="0" w:color="auto"/>
            </w:tcBorders>
          </w:tcPr>
          <w:p w14:paraId="2A311853" w14:textId="3F335A0D"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378AE6CE" w14:textId="0B3BE5C1" w:rsidR="00C75A20" w:rsidRPr="00DB2DF8" w:rsidRDefault="00953116" w:rsidP="00DB2DF8">
            <w:pPr>
              <w:overflowPunct/>
              <w:spacing w:before="120"/>
              <w:textAlignment w:val="auto"/>
              <w:rPr>
                <w:rFonts w:eastAsiaTheme="minorHAnsi" w:cs="Arial"/>
                <w:sz w:val="22"/>
                <w:szCs w:val="22"/>
                <w:lang w:eastAsia="en-US"/>
              </w:rPr>
            </w:pPr>
            <w:r>
              <w:rPr>
                <w:rFonts w:eastAsiaTheme="minorHAnsi" w:cs="Arial"/>
                <w:sz w:val="22"/>
                <w:szCs w:val="22"/>
                <w:lang w:eastAsia="en-US"/>
              </w:rPr>
              <w:t>Adults and children over 2</w:t>
            </w:r>
            <w:r w:rsidR="001C0B5B" w:rsidRPr="00DB2DF8">
              <w:rPr>
                <w:rFonts w:eastAsiaTheme="minorHAnsi" w:cs="Arial"/>
                <w:sz w:val="22"/>
                <w:szCs w:val="22"/>
                <w:lang w:eastAsia="en-US"/>
              </w:rPr>
              <w:t xml:space="preserve"> year</w:t>
            </w:r>
            <w:r>
              <w:rPr>
                <w:rFonts w:eastAsiaTheme="minorHAnsi" w:cs="Arial"/>
                <w:sz w:val="22"/>
                <w:szCs w:val="22"/>
                <w:lang w:eastAsia="en-US"/>
              </w:rPr>
              <w:t>s</w:t>
            </w:r>
            <w:r w:rsidR="001C0B5B" w:rsidRPr="00DB2DF8">
              <w:rPr>
                <w:rFonts w:eastAsiaTheme="minorHAnsi" w:cs="Arial"/>
                <w:sz w:val="22"/>
                <w:szCs w:val="22"/>
                <w:lang w:eastAsia="en-US"/>
              </w:rPr>
              <w:t xml:space="preserve"> old</w:t>
            </w:r>
            <w:r w:rsidR="006373DF">
              <w:rPr>
                <w:rFonts w:eastAsiaTheme="minorHAnsi" w:cs="Arial"/>
                <w:sz w:val="22"/>
                <w:szCs w:val="22"/>
                <w:lang w:eastAsia="en-US"/>
              </w:rPr>
              <w:t xml:space="preserve"> who</w:t>
            </w:r>
            <w:r w:rsidR="00C75A20" w:rsidRPr="00DB2DF8">
              <w:rPr>
                <w:rFonts w:eastAsiaTheme="minorHAnsi" w:cs="Arial"/>
                <w:sz w:val="22"/>
                <w:szCs w:val="22"/>
                <w:lang w:eastAsia="en-US"/>
              </w:rPr>
              <w:t>:</w:t>
            </w:r>
            <w:r w:rsidR="00C75A20" w:rsidRPr="00DB2DF8">
              <w:rPr>
                <w:sz w:val="22"/>
                <w:szCs w:val="22"/>
              </w:rPr>
              <w:t xml:space="preserve"> </w:t>
            </w:r>
          </w:p>
          <w:p w14:paraId="24E0ADD1" w14:textId="6B06F452" w:rsidR="00953116" w:rsidRPr="00173B45" w:rsidRDefault="006373DF" w:rsidP="000545F3">
            <w:pPr>
              <w:pStyle w:val="Default"/>
              <w:numPr>
                <w:ilvl w:val="0"/>
                <w:numId w:val="1"/>
              </w:numPr>
              <w:spacing w:after="120"/>
              <w:ind w:left="318" w:hanging="284"/>
              <w:rPr>
                <w:sz w:val="22"/>
                <w:szCs w:val="22"/>
              </w:rPr>
            </w:pPr>
            <w:r>
              <w:rPr>
                <w:sz w:val="22"/>
                <w:szCs w:val="22"/>
              </w:rPr>
              <w:t>i</w:t>
            </w:r>
            <w:r w:rsidR="00940A55">
              <w:rPr>
                <w:sz w:val="22"/>
                <w:szCs w:val="22"/>
              </w:rPr>
              <w:t>n</w:t>
            </w:r>
            <w:r>
              <w:rPr>
                <w:sz w:val="22"/>
                <w:szCs w:val="22"/>
              </w:rPr>
              <w:t>tend to</w:t>
            </w:r>
            <w:r w:rsidR="00940A55">
              <w:rPr>
                <w:sz w:val="22"/>
                <w:szCs w:val="22"/>
              </w:rPr>
              <w:t xml:space="preserve"> travel</w:t>
            </w:r>
            <w:r w:rsidR="00B83AA7">
              <w:rPr>
                <w:sz w:val="22"/>
                <w:szCs w:val="22"/>
              </w:rPr>
              <w:t>,</w:t>
            </w:r>
            <w:r w:rsidR="00940A55">
              <w:rPr>
                <w:sz w:val="22"/>
                <w:szCs w:val="22"/>
              </w:rPr>
              <w:t xml:space="preserve"> where </w:t>
            </w:r>
            <w:r w:rsidR="00953116">
              <w:rPr>
                <w:sz w:val="22"/>
                <w:szCs w:val="22"/>
              </w:rPr>
              <w:t>typhoid</w:t>
            </w:r>
            <w:r w:rsidR="00C94BD6">
              <w:rPr>
                <w:sz w:val="22"/>
                <w:szCs w:val="22"/>
              </w:rPr>
              <w:t xml:space="preserve"> vaccination is currently recommended </w:t>
            </w:r>
            <w:r w:rsidR="00FE0661">
              <w:rPr>
                <w:sz w:val="22"/>
                <w:szCs w:val="22"/>
              </w:rPr>
              <w:t xml:space="preserve">for travel by </w:t>
            </w:r>
            <w:hyperlink r:id="rId19" w:history="1">
              <w:r w:rsidR="00AC1F73" w:rsidRPr="00607562">
                <w:rPr>
                  <w:rStyle w:val="Hyperlink"/>
                  <w:sz w:val="22"/>
                  <w:szCs w:val="22"/>
                </w:rPr>
                <w:t>NaTHNaC</w:t>
              </w:r>
            </w:hyperlink>
            <w:r w:rsidR="00FE0661">
              <w:rPr>
                <w:sz w:val="22"/>
                <w:szCs w:val="22"/>
              </w:rPr>
              <w:t xml:space="preserve"> (see</w:t>
            </w:r>
            <w:r w:rsidR="00DB2DF8" w:rsidRPr="00A9315C">
              <w:rPr>
                <w:sz w:val="22"/>
                <w:szCs w:val="22"/>
              </w:rPr>
              <w:t xml:space="preserve"> the </w:t>
            </w:r>
            <w:hyperlink r:id="rId20" w:history="1">
              <w:r w:rsidR="00DD3816" w:rsidRPr="00DD3816">
                <w:rPr>
                  <w:rStyle w:val="Hyperlink"/>
                  <w:sz w:val="22"/>
                  <w:szCs w:val="22"/>
                </w:rPr>
                <w:t>Travel Health Pro</w:t>
              </w:r>
            </w:hyperlink>
            <w:r w:rsidR="00DB2DF8" w:rsidRPr="00A9315C">
              <w:rPr>
                <w:sz w:val="22"/>
                <w:szCs w:val="22"/>
              </w:rPr>
              <w:t xml:space="preserve"> website </w:t>
            </w:r>
            <w:r w:rsidR="00DB2DF8" w:rsidRPr="003A4027">
              <w:rPr>
                <w:sz w:val="22"/>
                <w:szCs w:val="22"/>
              </w:rPr>
              <w:t xml:space="preserve">for </w:t>
            </w:r>
            <w:r w:rsidR="00232D6F" w:rsidRPr="003A4027">
              <w:rPr>
                <w:color w:val="auto"/>
                <w:sz w:val="22"/>
                <w:szCs w:val="22"/>
              </w:rPr>
              <w:t xml:space="preserve">country-specific advice on </w:t>
            </w:r>
            <w:r w:rsidR="00173B45">
              <w:rPr>
                <w:color w:val="auto"/>
                <w:sz w:val="22"/>
                <w:szCs w:val="22"/>
              </w:rPr>
              <w:t>typhoid vaccination</w:t>
            </w:r>
            <w:r w:rsidR="00940A55" w:rsidRPr="003A4027">
              <w:rPr>
                <w:sz w:val="22"/>
                <w:szCs w:val="22"/>
              </w:rPr>
              <w:t>)</w:t>
            </w:r>
          </w:p>
          <w:p w14:paraId="5DE82E9E" w14:textId="06346BC4" w:rsidR="00953116" w:rsidRDefault="00953116" w:rsidP="00953116">
            <w:pPr>
              <w:pStyle w:val="Default"/>
              <w:rPr>
                <w:sz w:val="22"/>
                <w:szCs w:val="22"/>
              </w:rPr>
            </w:pPr>
            <w:r>
              <w:rPr>
                <w:sz w:val="22"/>
                <w:szCs w:val="22"/>
              </w:rPr>
              <w:t>Children aged 12 months up to 2 years (</w:t>
            </w:r>
            <w:hyperlink w:anchor="OffLabel" w:history="1">
              <w:r w:rsidRPr="00173B45">
                <w:rPr>
                  <w:rStyle w:val="Hyperlink"/>
                  <w:sz w:val="22"/>
                  <w:szCs w:val="22"/>
                </w:rPr>
                <w:t>off-label</w:t>
              </w:r>
              <w:r w:rsidR="00173B45" w:rsidRPr="00173B45">
                <w:rPr>
                  <w:rStyle w:val="Hyperlink"/>
                  <w:sz w:val="22"/>
                  <w:szCs w:val="22"/>
                </w:rPr>
                <w:t xml:space="preserve"> use</w:t>
              </w:r>
            </w:hyperlink>
            <w:r>
              <w:rPr>
                <w:sz w:val="22"/>
                <w:szCs w:val="22"/>
              </w:rPr>
              <w:t>)</w:t>
            </w:r>
            <w:r w:rsidR="00173B45">
              <w:rPr>
                <w:sz w:val="22"/>
                <w:szCs w:val="22"/>
              </w:rPr>
              <w:t xml:space="preserve"> who</w:t>
            </w:r>
            <w:r>
              <w:rPr>
                <w:sz w:val="22"/>
                <w:szCs w:val="22"/>
              </w:rPr>
              <w:t>:</w:t>
            </w:r>
          </w:p>
          <w:p w14:paraId="0AC2C3C3" w14:textId="7C177C4F" w:rsidR="00F6776E" w:rsidRPr="00173B45" w:rsidRDefault="00173B45" w:rsidP="000545F3">
            <w:pPr>
              <w:pStyle w:val="Default"/>
              <w:numPr>
                <w:ilvl w:val="0"/>
                <w:numId w:val="1"/>
              </w:numPr>
              <w:spacing w:after="120"/>
              <w:ind w:left="318" w:hanging="284"/>
              <w:rPr>
                <w:sz w:val="22"/>
                <w:szCs w:val="22"/>
              </w:rPr>
            </w:pPr>
            <w:r>
              <w:rPr>
                <w:sz w:val="22"/>
                <w:szCs w:val="22"/>
              </w:rPr>
              <w:t xml:space="preserve">intend to travel, where typhoid vaccination is currently recommended for travel by </w:t>
            </w:r>
            <w:hyperlink r:id="rId21" w:history="1">
              <w:r w:rsidR="00AC1F73" w:rsidRPr="00607562">
                <w:rPr>
                  <w:rStyle w:val="Hyperlink"/>
                  <w:sz w:val="22"/>
                  <w:szCs w:val="22"/>
                </w:rPr>
                <w:t>NaTHNaC</w:t>
              </w:r>
            </w:hyperlink>
            <w:r>
              <w:rPr>
                <w:sz w:val="22"/>
                <w:szCs w:val="22"/>
              </w:rPr>
              <w:t xml:space="preserve"> and if the risk of typhoid fever is considered high (see</w:t>
            </w:r>
            <w:r w:rsidRPr="00A9315C">
              <w:rPr>
                <w:sz w:val="22"/>
                <w:szCs w:val="22"/>
              </w:rPr>
              <w:t xml:space="preserve"> the </w:t>
            </w:r>
            <w:hyperlink r:id="rId22" w:history="1">
              <w:r w:rsidRPr="00DD3816">
                <w:rPr>
                  <w:rStyle w:val="Hyperlink"/>
                  <w:sz w:val="22"/>
                  <w:szCs w:val="22"/>
                </w:rPr>
                <w:t>Travel Health Pro</w:t>
              </w:r>
            </w:hyperlink>
            <w:r w:rsidRPr="00A9315C">
              <w:rPr>
                <w:sz w:val="22"/>
                <w:szCs w:val="22"/>
              </w:rPr>
              <w:t xml:space="preserve"> website </w:t>
            </w:r>
            <w:r w:rsidRPr="003A4027">
              <w:rPr>
                <w:sz w:val="22"/>
                <w:szCs w:val="22"/>
              </w:rPr>
              <w:t xml:space="preserve">for </w:t>
            </w:r>
            <w:r w:rsidRPr="003A4027">
              <w:rPr>
                <w:color w:val="auto"/>
                <w:sz w:val="22"/>
                <w:szCs w:val="22"/>
              </w:rPr>
              <w:t xml:space="preserve">country-specific advice on </w:t>
            </w:r>
            <w:r>
              <w:rPr>
                <w:color w:val="auto"/>
                <w:sz w:val="22"/>
                <w:szCs w:val="22"/>
              </w:rPr>
              <w:t>typhoid vaccination</w:t>
            </w:r>
            <w:r w:rsidRPr="003A4027">
              <w:rPr>
                <w:sz w:val="22"/>
                <w:szCs w:val="22"/>
              </w:rPr>
              <w:t>)</w:t>
            </w:r>
          </w:p>
        </w:tc>
      </w:tr>
      <w:tr w:rsidR="00A956FD" w:rsidRPr="00A956FD" w14:paraId="58BB6327" w14:textId="77777777" w:rsidTr="00D7770B">
        <w:tc>
          <w:tcPr>
            <w:tcW w:w="2977" w:type="dxa"/>
            <w:tcBorders>
              <w:bottom w:val="single" w:sz="4" w:space="0" w:color="auto"/>
            </w:tcBorders>
          </w:tcPr>
          <w:p w14:paraId="2F8A2A45" w14:textId="31B2D917"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14:paraId="05E0C610" w14:textId="77777777" w:rsidR="00C75A20" w:rsidRPr="00261D17" w:rsidRDefault="00C75A20" w:rsidP="00C75A20">
            <w:pPr>
              <w:pStyle w:val="Pa4"/>
              <w:spacing w:before="120" w:after="120" w:line="240" w:lineRule="auto"/>
              <w:contextualSpacing/>
              <w:rPr>
                <w:rFonts w:ascii="Arial" w:hAnsi="Arial" w:cs="Arial"/>
                <w:sz w:val="22"/>
                <w:szCs w:val="22"/>
              </w:rPr>
            </w:pPr>
            <w:r w:rsidRPr="00844F17">
              <w:rPr>
                <w:rFonts w:ascii="Arial" w:hAnsi="Arial" w:cs="Arial"/>
                <w:sz w:val="22"/>
                <w:szCs w:val="22"/>
              </w:rPr>
              <w:t xml:space="preserve">Individuals </w:t>
            </w:r>
            <w:r w:rsidRPr="00261D17">
              <w:rPr>
                <w:rFonts w:ascii="Arial" w:hAnsi="Arial" w:cs="Arial"/>
                <w:sz w:val="22"/>
                <w:szCs w:val="22"/>
              </w:rPr>
              <w:t>for whom no valid consent has been received.</w:t>
            </w:r>
          </w:p>
          <w:p w14:paraId="2DEFA4D8" w14:textId="77777777" w:rsidR="00C75A20" w:rsidRPr="00C94BD6" w:rsidRDefault="00C75A20" w:rsidP="00C75A20">
            <w:pPr>
              <w:pStyle w:val="Default"/>
              <w:spacing w:before="120"/>
              <w:contextualSpacing/>
              <w:rPr>
                <w:color w:val="auto"/>
                <w:sz w:val="22"/>
                <w:szCs w:val="22"/>
                <w:lang w:eastAsia="en-US"/>
              </w:rPr>
            </w:pPr>
            <w:r w:rsidRPr="00261D17">
              <w:rPr>
                <w:color w:val="auto"/>
                <w:sz w:val="22"/>
                <w:szCs w:val="22"/>
                <w:lang w:eastAsia="en-US"/>
              </w:rPr>
              <w:t>In</w:t>
            </w:r>
            <w:r w:rsidRPr="00C94BD6">
              <w:rPr>
                <w:color w:val="auto"/>
                <w:sz w:val="22"/>
                <w:szCs w:val="22"/>
                <w:lang w:eastAsia="en-US"/>
              </w:rPr>
              <w:t>dividuals who:</w:t>
            </w:r>
          </w:p>
          <w:p w14:paraId="20EDE463" w14:textId="3DC920FD" w:rsidR="00A425B9" w:rsidRPr="00A425B9" w:rsidRDefault="00A425B9" w:rsidP="000545F3">
            <w:pPr>
              <w:numPr>
                <w:ilvl w:val="0"/>
                <w:numId w:val="5"/>
              </w:numPr>
              <w:overflowPunct/>
              <w:spacing w:after="120"/>
              <w:ind w:left="318" w:hanging="284"/>
              <w:contextualSpacing/>
              <w:textAlignment w:val="auto"/>
              <w:rPr>
                <w:rFonts w:eastAsia="Calibri"/>
                <w:sz w:val="22"/>
                <w:szCs w:val="22"/>
                <w:lang w:eastAsia="en-US"/>
              </w:rPr>
            </w:pPr>
            <w:r>
              <w:rPr>
                <w:rFonts w:eastAsiaTheme="minorHAnsi" w:cs="Arial"/>
                <w:sz w:val="22"/>
                <w:szCs w:val="22"/>
                <w:lang w:eastAsia="en-US"/>
              </w:rPr>
              <w:t xml:space="preserve">are under </w:t>
            </w:r>
            <w:r w:rsidR="009720A7">
              <w:rPr>
                <w:rFonts w:eastAsiaTheme="minorHAnsi" w:cs="Arial"/>
                <w:sz w:val="22"/>
                <w:szCs w:val="22"/>
                <w:lang w:eastAsia="en-US"/>
              </w:rPr>
              <w:t>12 months</w:t>
            </w:r>
            <w:r w:rsidR="00173B45">
              <w:rPr>
                <w:rFonts w:eastAsiaTheme="minorHAnsi" w:cs="Arial"/>
                <w:sz w:val="22"/>
                <w:szCs w:val="22"/>
                <w:lang w:eastAsia="en-US"/>
              </w:rPr>
              <w:t xml:space="preserve"> of age</w:t>
            </w:r>
          </w:p>
          <w:p w14:paraId="225CD635" w14:textId="564A6CC2" w:rsidR="00B6376A" w:rsidRPr="00B6376A" w:rsidRDefault="00F73F93" w:rsidP="000545F3">
            <w:pPr>
              <w:numPr>
                <w:ilvl w:val="0"/>
                <w:numId w:val="5"/>
              </w:numPr>
              <w:overflowPunct/>
              <w:spacing w:after="120"/>
              <w:ind w:left="318" w:hanging="284"/>
              <w:contextualSpacing/>
              <w:textAlignment w:val="auto"/>
              <w:rPr>
                <w:rFonts w:eastAsiaTheme="minorHAnsi" w:cs="Arial"/>
                <w:sz w:val="22"/>
                <w:szCs w:val="22"/>
                <w:lang w:eastAsia="en-US"/>
              </w:rPr>
            </w:pPr>
            <w:r w:rsidRPr="00C94BD6">
              <w:rPr>
                <w:rFonts w:eastAsiaTheme="minorHAnsi" w:cs="Arial"/>
                <w:sz w:val="22"/>
                <w:szCs w:val="22"/>
                <w:lang w:eastAsia="en-US"/>
              </w:rPr>
              <w:t xml:space="preserve">have had a confirmed anaphylactic reaction to a previous dose of </w:t>
            </w:r>
            <w:r w:rsidR="00173B45">
              <w:rPr>
                <w:rFonts w:eastAsiaTheme="minorHAnsi" w:cs="Arial"/>
                <w:sz w:val="22"/>
                <w:szCs w:val="22"/>
                <w:lang w:eastAsia="en-US"/>
              </w:rPr>
              <w:t>typhoid</w:t>
            </w:r>
            <w:r w:rsidR="00A0639A">
              <w:rPr>
                <w:rFonts w:eastAsiaTheme="minorHAnsi" w:cs="Arial"/>
                <w:sz w:val="22"/>
                <w:szCs w:val="22"/>
                <w:lang w:eastAsia="en-US"/>
              </w:rPr>
              <w:t xml:space="preserve"> Vi </w:t>
            </w:r>
            <w:r w:rsidR="00417636">
              <w:rPr>
                <w:rFonts w:eastAsiaTheme="minorHAnsi" w:cs="Arial"/>
                <w:sz w:val="22"/>
                <w:szCs w:val="22"/>
                <w:lang w:eastAsia="en-US"/>
              </w:rPr>
              <w:t>polysaccharide</w:t>
            </w:r>
            <w:r w:rsidRPr="00C94BD6">
              <w:rPr>
                <w:rFonts w:eastAsiaTheme="minorHAnsi" w:cs="Arial"/>
                <w:sz w:val="22"/>
                <w:szCs w:val="22"/>
                <w:lang w:eastAsia="en-US"/>
              </w:rPr>
              <w:t xml:space="preserve"> vaccine or to any component</w:t>
            </w:r>
            <w:r w:rsidR="00A0639A">
              <w:rPr>
                <w:rFonts w:eastAsiaTheme="minorHAnsi" w:cs="Arial"/>
                <w:sz w:val="22"/>
                <w:szCs w:val="22"/>
                <w:lang w:eastAsia="en-US"/>
              </w:rPr>
              <w:t>s</w:t>
            </w:r>
            <w:r w:rsidRPr="00C94BD6">
              <w:rPr>
                <w:rFonts w:eastAsiaTheme="minorHAnsi" w:cs="Arial"/>
                <w:sz w:val="22"/>
                <w:szCs w:val="22"/>
                <w:lang w:eastAsia="en-US"/>
              </w:rPr>
              <w:t xml:space="preserve"> of the </w:t>
            </w:r>
            <w:r w:rsidRPr="00EA2CF9">
              <w:rPr>
                <w:rFonts w:eastAsiaTheme="minorHAnsi" w:cs="Arial"/>
                <w:sz w:val="22"/>
                <w:szCs w:val="22"/>
                <w:lang w:eastAsia="en-US"/>
              </w:rPr>
              <w:t>vaccine</w:t>
            </w:r>
            <w:r w:rsidR="00E1695C">
              <w:rPr>
                <w:rFonts w:eastAsiaTheme="minorHAnsi" w:cs="Arial"/>
                <w:sz w:val="22"/>
                <w:szCs w:val="22"/>
                <w:lang w:eastAsia="en-US"/>
              </w:rPr>
              <w:t xml:space="preserve"> </w:t>
            </w:r>
            <w:r w:rsidR="009B6BE7" w:rsidRPr="00EA2CF9">
              <w:rPr>
                <w:rFonts w:eastAsiaTheme="minorHAnsi" w:cs="Arial"/>
                <w:sz w:val="22"/>
                <w:szCs w:val="22"/>
                <w:lang w:eastAsia="en-US"/>
              </w:rPr>
              <w:t>(including trace components from the manufacturing process which may include formaldehyde, see SPC)</w:t>
            </w:r>
            <w:r w:rsidR="00B6376A">
              <w:rPr>
                <w:rFonts w:eastAsiaTheme="minorHAnsi" w:cs="Arial"/>
                <w:sz w:val="22"/>
                <w:szCs w:val="22"/>
                <w:lang w:eastAsia="en-US"/>
              </w:rPr>
              <w:t>*</w:t>
            </w:r>
          </w:p>
          <w:p w14:paraId="2C8E8D00" w14:textId="26FD98FD" w:rsidR="00F73F93" w:rsidRPr="00C94BD6" w:rsidRDefault="00C94BD6" w:rsidP="000545F3">
            <w:pPr>
              <w:numPr>
                <w:ilvl w:val="0"/>
                <w:numId w:val="5"/>
              </w:numPr>
              <w:overflowPunct/>
              <w:spacing w:before="120" w:after="120"/>
              <w:ind w:left="317" w:hanging="283"/>
              <w:contextualSpacing/>
              <w:textAlignment w:val="auto"/>
              <w:rPr>
                <w:rFonts w:eastAsia="Calibri"/>
                <w:sz w:val="22"/>
                <w:szCs w:val="22"/>
                <w:lang w:eastAsia="en-US"/>
              </w:rPr>
            </w:pPr>
            <w:r w:rsidRPr="00C94BD6">
              <w:rPr>
                <w:sz w:val="22"/>
                <w:szCs w:val="22"/>
              </w:rPr>
              <w:t xml:space="preserve">are at increased risk of </w:t>
            </w:r>
            <w:r w:rsidR="00A0639A" w:rsidRPr="00A0639A">
              <w:rPr>
                <w:i/>
                <w:sz w:val="22"/>
                <w:szCs w:val="22"/>
              </w:rPr>
              <w:t>S.</w:t>
            </w:r>
            <w:r w:rsidR="00CF09EC">
              <w:rPr>
                <w:i/>
                <w:sz w:val="22"/>
                <w:szCs w:val="22"/>
              </w:rPr>
              <w:t xml:space="preserve"> </w:t>
            </w:r>
            <w:r w:rsidR="00A0639A" w:rsidRPr="00A0639A">
              <w:rPr>
                <w:i/>
                <w:sz w:val="22"/>
                <w:szCs w:val="22"/>
              </w:rPr>
              <w:t>typhi</w:t>
            </w:r>
            <w:r w:rsidRPr="00C94BD6">
              <w:rPr>
                <w:sz w:val="22"/>
                <w:szCs w:val="22"/>
              </w:rPr>
              <w:t xml:space="preserve"> infection because of their occupation</w:t>
            </w:r>
            <w:r w:rsidR="00F73F93" w:rsidRPr="00C94BD6">
              <w:rPr>
                <w:rFonts w:eastAsia="Calibri"/>
                <w:sz w:val="22"/>
                <w:szCs w:val="22"/>
                <w:lang w:eastAsia="en-US"/>
              </w:rPr>
              <w:t xml:space="preserve"> (eg </w:t>
            </w:r>
            <w:r w:rsidR="00A0639A">
              <w:rPr>
                <w:rFonts w:eastAsia="Calibri"/>
                <w:sz w:val="22"/>
                <w:szCs w:val="22"/>
                <w:lang w:eastAsia="en-US"/>
              </w:rPr>
              <w:t xml:space="preserve">laboratory personnel who may handle </w:t>
            </w:r>
            <w:r w:rsidR="00A0639A" w:rsidRPr="00A0639A">
              <w:rPr>
                <w:rFonts w:eastAsia="Calibri"/>
                <w:i/>
                <w:sz w:val="22"/>
                <w:szCs w:val="22"/>
                <w:lang w:eastAsia="en-US"/>
              </w:rPr>
              <w:t>S. typhi</w:t>
            </w:r>
            <w:r w:rsidR="00A0639A">
              <w:rPr>
                <w:rFonts w:eastAsia="Calibri"/>
                <w:sz w:val="22"/>
                <w:szCs w:val="22"/>
                <w:lang w:eastAsia="en-US"/>
              </w:rPr>
              <w:t xml:space="preserve"> in the course of their work</w:t>
            </w:r>
            <w:r w:rsidR="00F73F93" w:rsidRPr="00C94BD6">
              <w:rPr>
                <w:rFonts w:eastAsia="Calibri"/>
                <w:sz w:val="22"/>
                <w:szCs w:val="22"/>
                <w:lang w:eastAsia="en-US"/>
              </w:rPr>
              <w:t>)</w:t>
            </w:r>
          </w:p>
          <w:p w14:paraId="382569A3" w14:textId="77777777" w:rsidR="00DB2DF8" w:rsidRPr="00B6376A" w:rsidRDefault="00C94BD6" w:rsidP="000545F3">
            <w:pPr>
              <w:numPr>
                <w:ilvl w:val="0"/>
                <w:numId w:val="5"/>
              </w:numPr>
              <w:overflowPunct/>
              <w:spacing w:before="120" w:after="120"/>
              <w:ind w:left="318" w:hanging="284"/>
              <w:textAlignment w:val="auto"/>
              <w:rPr>
                <w:rFonts w:eastAsia="Calibri"/>
                <w:sz w:val="22"/>
                <w:szCs w:val="22"/>
                <w:lang w:eastAsia="en-US"/>
              </w:rPr>
            </w:pPr>
            <w:r w:rsidRPr="00C94BD6">
              <w:rPr>
                <w:sz w:val="22"/>
                <w:szCs w:val="22"/>
              </w:rPr>
              <w:t xml:space="preserve">are </w:t>
            </w:r>
            <w:r w:rsidRPr="00C94BD6">
              <w:rPr>
                <w:rFonts w:cs="Arial"/>
                <w:sz w:val="22"/>
                <w:szCs w:val="22"/>
              </w:rPr>
              <w:t xml:space="preserve">suffering from acute severe febrile illness (the presence of a minor infection is not a contraindication </w:t>
            </w:r>
            <w:r w:rsidRPr="00261D17">
              <w:rPr>
                <w:rFonts w:cs="Arial"/>
                <w:sz w:val="22"/>
                <w:szCs w:val="22"/>
              </w:rPr>
              <w:t>for immunisation)</w:t>
            </w:r>
          </w:p>
          <w:p w14:paraId="3FB9DF61" w14:textId="24090C46" w:rsidR="00B6376A" w:rsidRPr="00B6376A" w:rsidRDefault="00B6376A" w:rsidP="00701A3B">
            <w:pPr>
              <w:overflowPunct/>
              <w:spacing w:after="120"/>
              <w:ind w:left="34"/>
              <w:textAlignment w:val="auto"/>
              <w:rPr>
                <w:rFonts w:eastAsiaTheme="minorHAnsi" w:cs="Arial"/>
                <w:sz w:val="22"/>
                <w:szCs w:val="22"/>
                <w:lang w:eastAsia="en-US"/>
              </w:rPr>
            </w:pPr>
            <w:r>
              <w:rPr>
                <w:rFonts w:eastAsiaTheme="minorHAnsi" w:cs="Arial"/>
                <w:sz w:val="22"/>
                <w:szCs w:val="22"/>
                <w:lang w:eastAsia="en-US"/>
              </w:rPr>
              <w:t>*</w:t>
            </w:r>
            <w:r w:rsidRPr="00B6376A">
              <w:rPr>
                <w:rFonts w:eastAsiaTheme="minorHAnsi" w:cs="Arial"/>
                <w:sz w:val="22"/>
                <w:szCs w:val="22"/>
                <w:lang w:eastAsia="en-US"/>
              </w:rPr>
              <w:t xml:space="preserve">Note: </w:t>
            </w:r>
            <w:r w:rsidR="009720A7">
              <w:rPr>
                <w:rFonts w:eastAsiaTheme="minorHAnsi" w:cs="Arial"/>
                <w:sz w:val="22"/>
                <w:szCs w:val="22"/>
                <w:lang w:eastAsia="en-US"/>
              </w:rPr>
              <w:t>S</w:t>
            </w:r>
            <w:r w:rsidRPr="00B6376A">
              <w:rPr>
                <w:rFonts w:eastAsiaTheme="minorHAnsi" w:cs="Arial"/>
                <w:sz w:val="22"/>
                <w:szCs w:val="22"/>
                <w:lang w:eastAsia="en-US"/>
              </w:rPr>
              <w:t>evere reactions to a previous dose of non-Vi typhoid vaccines do not contraindicate the subsequent use of a Vi-containing vaccine.</w:t>
            </w:r>
          </w:p>
        </w:tc>
      </w:tr>
      <w:tr w:rsidR="00A956FD" w:rsidRPr="00A956FD" w14:paraId="2163E1A3" w14:textId="77777777" w:rsidTr="006F222A">
        <w:trPr>
          <w:trHeight w:val="981"/>
        </w:trPr>
        <w:tc>
          <w:tcPr>
            <w:tcW w:w="2977" w:type="dxa"/>
          </w:tcPr>
          <w:p w14:paraId="0779BDF6" w14:textId="77777777" w:rsidR="008F7669" w:rsidRDefault="00032A94" w:rsidP="00B4381D">
            <w:pPr>
              <w:spacing w:before="120" w:after="120"/>
              <w:rPr>
                <w:rFonts w:cs="Arial"/>
                <w:b/>
                <w:sz w:val="22"/>
                <w:szCs w:val="22"/>
              </w:rPr>
            </w:pPr>
            <w:r w:rsidRPr="00E34432">
              <w:rPr>
                <w:rFonts w:cs="Arial"/>
                <w:b/>
                <w:sz w:val="22"/>
                <w:szCs w:val="22"/>
              </w:rPr>
              <w:t>Cautions including any relevant action to be taken</w:t>
            </w:r>
          </w:p>
          <w:p w14:paraId="27D7C3FC" w14:textId="34C479F6" w:rsidR="008519B2" w:rsidRPr="008519B2" w:rsidRDefault="008519B2" w:rsidP="00B4381D">
            <w:pPr>
              <w:spacing w:before="120" w:after="120"/>
              <w:contextualSpacing/>
              <w:rPr>
                <w:rFonts w:cs="Arial"/>
                <w:sz w:val="22"/>
                <w:szCs w:val="22"/>
              </w:rPr>
            </w:pPr>
          </w:p>
        </w:tc>
        <w:tc>
          <w:tcPr>
            <w:tcW w:w="6946" w:type="dxa"/>
          </w:tcPr>
          <w:p w14:paraId="6C326EBB" w14:textId="51AC9229" w:rsidR="0085734B" w:rsidRPr="0085734B" w:rsidRDefault="00C94BD6" w:rsidP="008C79D9">
            <w:pPr>
              <w:pStyle w:val="Default"/>
              <w:spacing w:before="120" w:after="120"/>
              <w:rPr>
                <w:color w:val="auto"/>
                <w:sz w:val="20"/>
                <w:szCs w:val="20"/>
                <w:lang w:val="en"/>
              </w:rPr>
            </w:pPr>
            <w:r w:rsidRPr="0085734B">
              <w:rPr>
                <w:color w:val="auto"/>
                <w:sz w:val="22"/>
                <w:szCs w:val="22"/>
              </w:rPr>
              <w:t>Individuals who are immunosuppressed or have HIV infection may not make a full antibody response</w:t>
            </w:r>
            <w:r w:rsidR="00771FFC">
              <w:rPr>
                <w:color w:val="auto"/>
                <w:sz w:val="22"/>
                <w:szCs w:val="22"/>
              </w:rPr>
              <w:t>;</w:t>
            </w:r>
            <w:r w:rsidRPr="0085734B">
              <w:rPr>
                <w:color w:val="auto"/>
                <w:sz w:val="22"/>
                <w:szCs w:val="22"/>
              </w:rPr>
              <w:t xml:space="preserve"> </w:t>
            </w:r>
            <w:r w:rsidR="0085734B" w:rsidRPr="0085734B">
              <w:rPr>
                <w:color w:val="auto"/>
                <w:sz w:val="22"/>
                <w:szCs w:val="22"/>
              </w:rPr>
              <w:t>consider whether postponing vaccination until the end of the disease or treatment is appropriate. Otherwise, vaccination is recommended even if the antibody response may be limited</w:t>
            </w:r>
            <w:r w:rsidR="00C86FCF">
              <w:rPr>
                <w:color w:val="auto"/>
                <w:sz w:val="22"/>
                <w:szCs w:val="22"/>
              </w:rPr>
              <w:t xml:space="preserve"> and </w:t>
            </w:r>
            <w:r w:rsidR="00C86FCF" w:rsidRPr="00C86FCF">
              <w:rPr>
                <w:color w:val="auto"/>
                <w:sz w:val="22"/>
                <w:szCs w:val="22"/>
              </w:rPr>
              <w:t>the importance of scrupulous attention to personal, food and water hygiene must be emphasised</w:t>
            </w:r>
            <w:r w:rsidR="00C86FCF">
              <w:rPr>
                <w:color w:val="auto"/>
                <w:sz w:val="22"/>
                <w:szCs w:val="22"/>
              </w:rPr>
              <w:t>.</w:t>
            </w:r>
          </w:p>
          <w:p w14:paraId="0B71A216" w14:textId="4199B498" w:rsidR="00EC3B95" w:rsidRPr="00EC3B95" w:rsidRDefault="00EC3B95" w:rsidP="00666CBB">
            <w:pPr>
              <w:pStyle w:val="Default"/>
              <w:spacing w:after="120"/>
              <w:rPr>
                <w:sz w:val="22"/>
                <w:szCs w:val="22"/>
              </w:rPr>
            </w:pPr>
            <w:r w:rsidRPr="00EC3B95">
              <w:rPr>
                <w:sz w:val="22"/>
                <w:szCs w:val="22"/>
              </w:rPr>
              <w:t xml:space="preserve">Syncope (fainting) </w:t>
            </w:r>
            <w:r w:rsidRPr="00EC3B95">
              <w:rPr>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03F0DDA6" w14:textId="77777777" w:rsidTr="00BA2EE8">
        <w:tc>
          <w:tcPr>
            <w:tcW w:w="2977" w:type="dxa"/>
          </w:tcPr>
          <w:p w14:paraId="72679B50" w14:textId="0A289321" w:rsidR="0077518F" w:rsidRDefault="00AD5B95" w:rsidP="00EA4421">
            <w:pPr>
              <w:pStyle w:val="Header"/>
              <w:tabs>
                <w:tab w:val="clear" w:pos="4153"/>
                <w:tab w:val="clear" w:pos="8306"/>
              </w:tabs>
              <w:spacing w:before="120" w:after="120"/>
              <w:rPr>
                <w:rFonts w:ascii="Arial" w:hAnsi="Arial" w:cs="Arial"/>
                <w:b/>
                <w:sz w:val="22"/>
                <w:szCs w:val="22"/>
              </w:rPr>
            </w:pPr>
            <w:r w:rsidRPr="00911A85">
              <w:rPr>
                <w:rFonts w:ascii="Arial" w:hAnsi="Arial" w:cs="Arial"/>
                <w:b/>
                <w:sz w:val="22"/>
                <w:szCs w:val="22"/>
              </w:rPr>
              <w:t xml:space="preserve">Action to be taken if the patient is </w:t>
            </w:r>
            <w:r w:rsidR="001226E9" w:rsidRPr="00911A85">
              <w:rPr>
                <w:rFonts w:ascii="Arial" w:hAnsi="Arial" w:cs="Arial"/>
                <w:b/>
                <w:sz w:val="22"/>
                <w:szCs w:val="22"/>
              </w:rPr>
              <w:t>excluded</w:t>
            </w:r>
          </w:p>
          <w:p w14:paraId="3427F45B" w14:textId="77777777" w:rsidR="00E1695C" w:rsidRDefault="00E1695C" w:rsidP="00701A3B">
            <w:pPr>
              <w:pStyle w:val="Header"/>
              <w:tabs>
                <w:tab w:val="clear" w:pos="4153"/>
                <w:tab w:val="clear" w:pos="8306"/>
              </w:tabs>
              <w:spacing w:before="120" w:after="120"/>
              <w:contextualSpacing/>
              <w:rPr>
                <w:rFonts w:ascii="Arial" w:hAnsi="Arial" w:cs="Arial"/>
                <w:sz w:val="22"/>
                <w:szCs w:val="22"/>
              </w:rPr>
            </w:pPr>
          </w:p>
          <w:p w14:paraId="1C13BA63" w14:textId="77777777" w:rsidR="00701A3B" w:rsidRPr="00701A3B" w:rsidRDefault="00701A3B" w:rsidP="00701A3B">
            <w:pPr>
              <w:pStyle w:val="Header"/>
              <w:tabs>
                <w:tab w:val="clear" w:pos="4153"/>
                <w:tab w:val="clear" w:pos="8306"/>
              </w:tabs>
              <w:spacing w:before="120" w:after="120"/>
              <w:contextualSpacing/>
              <w:rPr>
                <w:rFonts w:ascii="Arial" w:hAnsi="Arial" w:cs="Arial"/>
                <w:sz w:val="22"/>
                <w:szCs w:val="22"/>
              </w:rPr>
            </w:pPr>
            <w:r w:rsidRPr="00701A3B">
              <w:rPr>
                <w:rFonts w:ascii="Arial" w:hAnsi="Arial" w:cs="Arial"/>
                <w:sz w:val="22"/>
                <w:szCs w:val="22"/>
              </w:rPr>
              <w:t>Continued over page</w:t>
            </w:r>
          </w:p>
          <w:p w14:paraId="3D7686B7" w14:textId="77777777" w:rsidR="00701A3B" w:rsidRDefault="00701A3B" w:rsidP="00701A3B">
            <w:pPr>
              <w:pStyle w:val="Header"/>
              <w:tabs>
                <w:tab w:val="clear" w:pos="4153"/>
                <w:tab w:val="clear" w:pos="8306"/>
              </w:tabs>
              <w:spacing w:before="120" w:after="120"/>
              <w:contextualSpacing/>
              <w:rPr>
                <w:rFonts w:ascii="Arial" w:hAnsi="Arial" w:cs="Arial"/>
                <w:b/>
                <w:sz w:val="22"/>
                <w:szCs w:val="22"/>
              </w:rPr>
            </w:pPr>
            <w:r w:rsidRPr="00911A85">
              <w:rPr>
                <w:rFonts w:ascii="Arial" w:hAnsi="Arial" w:cs="Arial"/>
                <w:b/>
                <w:sz w:val="22"/>
                <w:szCs w:val="22"/>
              </w:rPr>
              <w:lastRenderedPageBreak/>
              <w:t>Action to be taken if the patient is excluded</w:t>
            </w:r>
          </w:p>
          <w:p w14:paraId="446C610C" w14:textId="071AE38A" w:rsidR="00701A3B" w:rsidRPr="00701A3B" w:rsidRDefault="00701A3B" w:rsidP="00701A3B">
            <w:pPr>
              <w:pStyle w:val="Header"/>
              <w:tabs>
                <w:tab w:val="clear" w:pos="4153"/>
                <w:tab w:val="clear" w:pos="8306"/>
              </w:tabs>
              <w:spacing w:before="120" w:after="120"/>
              <w:contextualSpacing/>
              <w:rPr>
                <w:rFonts w:ascii="Arial" w:hAnsi="Arial" w:cs="Arial"/>
                <w:sz w:val="22"/>
                <w:szCs w:val="22"/>
              </w:rPr>
            </w:pPr>
            <w:r w:rsidRPr="00701A3B">
              <w:rPr>
                <w:rFonts w:ascii="Arial" w:hAnsi="Arial" w:cs="Arial"/>
                <w:sz w:val="22"/>
                <w:szCs w:val="22"/>
              </w:rPr>
              <w:t>(continued)</w:t>
            </w:r>
          </w:p>
        </w:tc>
        <w:tc>
          <w:tcPr>
            <w:tcW w:w="6946" w:type="dxa"/>
            <w:shd w:val="clear" w:color="auto" w:fill="auto"/>
          </w:tcPr>
          <w:p w14:paraId="0BBFD370" w14:textId="6FE790FD" w:rsidR="00A9315C" w:rsidRPr="00666CBB" w:rsidRDefault="00A9315C" w:rsidP="003A4027">
            <w:pPr>
              <w:spacing w:before="120" w:after="120"/>
              <w:rPr>
                <w:rFonts w:eastAsiaTheme="minorHAnsi" w:cs="Arial"/>
                <w:color w:val="FF0000"/>
                <w:sz w:val="22"/>
                <w:szCs w:val="22"/>
                <w:lang w:eastAsia="en-US"/>
              </w:rPr>
            </w:pPr>
            <w:r w:rsidRPr="00666CBB">
              <w:rPr>
                <w:rFonts w:eastAsiaTheme="minorHAnsi" w:cs="Arial"/>
                <w:sz w:val="22"/>
                <w:szCs w:val="22"/>
                <w:lang w:eastAsia="en-US"/>
              </w:rPr>
              <w:lastRenderedPageBreak/>
              <w:t xml:space="preserve">Individuals under one year of age </w:t>
            </w:r>
            <w:r w:rsidR="00666CBB" w:rsidRPr="00666CBB">
              <w:rPr>
                <w:rFonts w:eastAsiaTheme="minorHAnsi" w:cs="Arial"/>
                <w:sz w:val="22"/>
                <w:szCs w:val="22"/>
                <w:lang w:eastAsia="en-US"/>
              </w:rPr>
              <w:t xml:space="preserve">are not recommended </w:t>
            </w:r>
            <w:r w:rsidR="002734A2">
              <w:rPr>
                <w:rFonts w:eastAsiaTheme="minorHAnsi" w:cs="Arial"/>
                <w:sz w:val="22"/>
                <w:szCs w:val="22"/>
                <w:lang w:eastAsia="en-US"/>
              </w:rPr>
              <w:t>typhoid</w:t>
            </w:r>
            <w:r w:rsidR="00666CBB" w:rsidRPr="00666CBB">
              <w:rPr>
                <w:rFonts w:eastAsiaTheme="minorHAnsi" w:cs="Arial"/>
                <w:sz w:val="22"/>
                <w:szCs w:val="22"/>
                <w:lang w:eastAsia="en-US"/>
              </w:rPr>
              <w:t xml:space="preserve"> vaccin</w:t>
            </w:r>
            <w:r w:rsidR="002734A2">
              <w:rPr>
                <w:rFonts w:eastAsiaTheme="minorHAnsi" w:cs="Arial"/>
                <w:sz w:val="22"/>
                <w:szCs w:val="22"/>
                <w:lang w:eastAsia="en-US"/>
              </w:rPr>
              <w:t>e</w:t>
            </w:r>
            <w:r w:rsidR="00666CBB" w:rsidRPr="00666CBB">
              <w:rPr>
                <w:rFonts w:eastAsiaTheme="minorHAnsi" w:cs="Arial"/>
                <w:sz w:val="22"/>
                <w:szCs w:val="22"/>
                <w:lang w:eastAsia="en-US"/>
              </w:rPr>
              <w:t xml:space="preserve">. </w:t>
            </w:r>
            <w:r w:rsidR="003A4027" w:rsidRPr="003A4027">
              <w:rPr>
                <w:rFonts w:eastAsiaTheme="minorHAnsi" w:cs="Arial"/>
                <w:sz w:val="22"/>
                <w:szCs w:val="22"/>
                <w:lang w:eastAsia="en-US"/>
              </w:rPr>
              <w:t>Where vaccine is not reco</w:t>
            </w:r>
            <w:r w:rsidR="003A4027">
              <w:rPr>
                <w:rFonts w:eastAsiaTheme="minorHAnsi" w:cs="Arial"/>
                <w:sz w:val="22"/>
                <w:szCs w:val="22"/>
                <w:lang w:eastAsia="en-US"/>
              </w:rPr>
              <w:t xml:space="preserve">mmended (and even when it is), </w:t>
            </w:r>
            <w:r w:rsidR="003A4027" w:rsidRPr="003A4027">
              <w:rPr>
                <w:rFonts w:eastAsiaTheme="minorHAnsi" w:cs="Arial"/>
                <w:sz w:val="22"/>
                <w:szCs w:val="22"/>
                <w:lang w:eastAsia="en-US"/>
              </w:rPr>
              <w:t xml:space="preserve">the importance of stringent </w:t>
            </w:r>
            <w:r w:rsidR="00911A85">
              <w:rPr>
                <w:rFonts w:eastAsiaTheme="minorHAnsi" w:cs="Arial"/>
                <w:sz w:val="22"/>
                <w:szCs w:val="22"/>
                <w:lang w:eastAsia="en-US"/>
              </w:rPr>
              <w:t xml:space="preserve">personal, food and water </w:t>
            </w:r>
            <w:r w:rsidR="003A4027" w:rsidRPr="003A4027">
              <w:rPr>
                <w:rFonts w:eastAsiaTheme="minorHAnsi" w:cs="Arial"/>
                <w:sz w:val="22"/>
                <w:szCs w:val="22"/>
                <w:lang w:eastAsia="en-US"/>
              </w:rPr>
              <w:t>hygien</w:t>
            </w:r>
            <w:r w:rsidR="003A4027">
              <w:rPr>
                <w:rFonts w:eastAsiaTheme="minorHAnsi" w:cs="Arial"/>
                <w:sz w:val="22"/>
                <w:szCs w:val="22"/>
                <w:lang w:eastAsia="en-US"/>
              </w:rPr>
              <w:t>e measures should be reinforced</w:t>
            </w:r>
            <w:r w:rsidR="007741F1">
              <w:rPr>
                <w:rFonts w:eastAsiaTheme="minorHAnsi" w:cs="Arial"/>
                <w:sz w:val="22"/>
                <w:szCs w:val="22"/>
                <w:lang w:eastAsia="en-US"/>
              </w:rPr>
              <w:t xml:space="preserve">. </w:t>
            </w:r>
          </w:p>
          <w:p w14:paraId="56B3BDE7" w14:textId="06B6DE34" w:rsidR="00A9315C" w:rsidRDefault="00A9315C" w:rsidP="00A9315C">
            <w:pPr>
              <w:overflowPunct/>
              <w:spacing w:before="120" w:after="120"/>
              <w:textAlignment w:val="auto"/>
              <w:rPr>
                <w:rFonts w:eastAsiaTheme="minorHAnsi" w:cs="Arial"/>
                <w:sz w:val="22"/>
                <w:szCs w:val="22"/>
                <w:lang w:eastAsia="en-US"/>
              </w:rPr>
            </w:pPr>
            <w:r>
              <w:rPr>
                <w:rFonts w:eastAsiaTheme="minorHAnsi" w:cs="Arial"/>
                <w:sz w:val="22"/>
                <w:szCs w:val="22"/>
                <w:lang w:eastAsia="en-US"/>
              </w:rPr>
              <w:lastRenderedPageBreak/>
              <w:t xml:space="preserve">Individuals who have had a confirmed anaphylactic reaction to a previous dose of </w:t>
            </w:r>
            <w:r w:rsidR="00911A85">
              <w:rPr>
                <w:rFonts w:eastAsiaTheme="minorHAnsi" w:cs="Arial"/>
                <w:sz w:val="22"/>
                <w:szCs w:val="22"/>
                <w:lang w:eastAsia="en-US"/>
              </w:rPr>
              <w:t xml:space="preserve">typhoid Vi </w:t>
            </w:r>
            <w:r w:rsidR="00417636">
              <w:rPr>
                <w:rFonts w:eastAsiaTheme="minorHAnsi" w:cs="Arial"/>
                <w:sz w:val="22"/>
                <w:szCs w:val="22"/>
                <w:lang w:eastAsia="en-US"/>
              </w:rPr>
              <w:t>polysaccharide</w:t>
            </w:r>
            <w:r w:rsidR="00911A85" w:rsidRPr="00C94BD6">
              <w:rPr>
                <w:rFonts w:eastAsiaTheme="minorHAnsi" w:cs="Arial"/>
                <w:sz w:val="22"/>
                <w:szCs w:val="22"/>
                <w:lang w:eastAsia="en-US"/>
              </w:rPr>
              <w:t xml:space="preserve"> vaccine </w:t>
            </w:r>
            <w:r>
              <w:rPr>
                <w:rFonts w:eastAsiaTheme="minorHAnsi" w:cs="Arial"/>
                <w:sz w:val="22"/>
                <w:szCs w:val="22"/>
                <w:lang w:eastAsia="en-US"/>
              </w:rPr>
              <w:t xml:space="preserve">or any components of the vaccine should be referred to a clinician for specialist advice and appropriate management. </w:t>
            </w:r>
          </w:p>
          <w:p w14:paraId="3A226BA1" w14:textId="69E2DF46" w:rsidR="00A9315C" w:rsidRPr="004E642C" w:rsidRDefault="00A9315C" w:rsidP="00A9315C">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Individuals who are solely a</w:t>
            </w:r>
            <w:r>
              <w:rPr>
                <w:rFonts w:eastAsiaTheme="minorHAnsi" w:cs="Arial"/>
                <w:sz w:val="22"/>
                <w:szCs w:val="22"/>
                <w:lang w:eastAsia="en-US"/>
              </w:rPr>
              <w:t xml:space="preserve">t </w:t>
            </w:r>
            <w:r w:rsidRPr="004E642C">
              <w:rPr>
                <w:rFonts w:eastAsiaTheme="minorHAnsi" w:cs="Arial"/>
                <w:sz w:val="22"/>
                <w:szCs w:val="22"/>
                <w:lang w:eastAsia="en-US"/>
              </w:rPr>
              <w:t xml:space="preserve">occupational risk of </w:t>
            </w:r>
            <w:r w:rsidR="00911A85" w:rsidRPr="00A0639A">
              <w:rPr>
                <w:i/>
                <w:sz w:val="22"/>
                <w:szCs w:val="22"/>
              </w:rPr>
              <w:t>S.</w:t>
            </w:r>
            <w:r w:rsidR="00CF09EC">
              <w:rPr>
                <w:i/>
                <w:sz w:val="22"/>
                <w:szCs w:val="22"/>
              </w:rPr>
              <w:t xml:space="preserve"> </w:t>
            </w:r>
            <w:r w:rsidR="00911A85" w:rsidRPr="00A0639A">
              <w:rPr>
                <w:i/>
                <w:sz w:val="22"/>
                <w:szCs w:val="22"/>
              </w:rPr>
              <w:t>typhi</w:t>
            </w:r>
            <w:r w:rsidR="00911A85" w:rsidRPr="00C94BD6">
              <w:rPr>
                <w:sz w:val="22"/>
                <w:szCs w:val="22"/>
              </w:rPr>
              <w:t xml:space="preserve"> infection</w:t>
            </w:r>
            <w:r>
              <w:rPr>
                <w:rFonts w:eastAsiaTheme="minorHAnsi" w:cs="Arial"/>
                <w:sz w:val="22"/>
                <w:szCs w:val="22"/>
                <w:lang w:eastAsia="en-US"/>
              </w:rPr>
              <w:t xml:space="preserve"> </w:t>
            </w:r>
            <w:r w:rsidRPr="004E642C">
              <w:rPr>
                <w:rFonts w:eastAsiaTheme="minorHAnsi" w:cs="Arial"/>
                <w:sz w:val="22"/>
                <w:szCs w:val="22"/>
                <w:lang w:eastAsia="en-US"/>
              </w:rPr>
              <w:t>should be referred to their employer</w:t>
            </w:r>
            <w:r>
              <w:rPr>
                <w:rFonts w:eastAsiaTheme="minorHAnsi" w:cs="Arial"/>
                <w:sz w:val="22"/>
                <w:szCs w:val="22"/>
                <w:lang w:eastAsia="en-US"/>
              </w:rPr>
              <w:t>’</w:t>
            </w:r>
            <w:r w:rsidRPr="004E642C">
              <w:rPr>
                <w:rFonts w:eastAsiaTheme="minorHAnsi" w:cs="Arial"/>
                <w:sz w:val="22"/>
                <w:szCs w:val="22"/>
                <w:lang w:eastAsia="en-US"/>
              </w:rPr>
              <w:t>s occupation</w:t>
            </w:r>
            <w:r w:rsidR="00232D6F">
              <w:rPr>
                <w:rFonts w:eastAsiaTheme="minorHAnsi" w:cs="Arial"/>
                <w:sz w:val="22"/>
                <w:szCs w:val="22"/>
                <w:lang w:eastAsia="en-US"/>
              </w:rPr>
              <w:t>al</w:t>
            </w:r>
            <w:r w:rsidRPr="004E642C">
              <w:rPr>
                <w:rFonts w:eastAsiaTheme="minorHAnsi" w:cs="Arial"/>
                <w:sz w:val="22"/>
                <w:szCs w:val="22"/>
                <w:lang w:eastAsia="en-US"/>
              </w:rPr>
              <w:t xml:space="preserve"> health provider for vaccination. </w:t>
            </w:r>
          </w:p>
          <w:p w14:paraId="231930C1" w14:textId="77777777" w:rsidR="00A9315C" w:rsidRPr="004E642C" w:rsidRDefault="00A9315C" w:rsidP="00A9315C">
            <w:pPr>
              <w:overflowPunct/>
              <w:spacing w:before="120" w:after="120"/>
              <w:textAlignment w:val="auto"/>
              <w:rPr>
                <w:rFonts w:eastAsiaTheme="minorHAnsi" w:cs="Arial"/>
                <w:sz w:val="22"/>
                <w:szCs w:val="22"/>
                <w:lang w:eastAsia="en-US"/>
              </w:rPr>
            </w:pPr>
            <w:r>
              <w:rPr>
                <w:rFonts w:eastAsia="Arial" w:cs="Arial"/>
                <w:sz w:val="22"/>
                <w:szCs w:val="22"/>
              </w:rPr>
              <w:t xml:space="preserve">Individuals suffering </w:t>
            </w:r>
            <w:r w:rsidRPr="004E642C">
              <w:rPr>
                <w:rFonts w:eastAsia="Arial" w:cs="Arial"/>
                <w:sz w:val="22"/>
                <w:szCs w:val="22"/>
              </w:rPr>
              <w:t>acute severe febrile illness</w:t>
            </w:r>
            <w:r>
              <w:rPr>
                <w:rFonts w:eastAsia="Arial" w:cs="Arial"/>
                <w:sz w:val="22"/>
                <w:szCs w:val="22"/>
              </w:rPr>
              <w:t xml:space="preserve"> should postpone immunisation until they have recovered;</w:t>
            </w:r>
            <w:r w:rsidRPr="004E642C">
              <w:rPr>
                <w:rFonts w:eastAsia="Arial" w:cs="Arial"/>
                <w:sz w:val="22"/>
                <w:szCs w:val="22"/>
              </w:rPr>
              <w:t xml:space="preserve"> </w:t>
            </w:r>
            <w:r>
              <w:rPr>
                <w:rFonts w:eastAsia="Arial" w:cs="Arial"/>
                <w:sz w:val="22"/>
                <w:szCs w:val="22"/>
              </w:rPr>
              <w:t xml:space="preserve">immunisers should </w:t>
            </w:r>
            <w:r w:rsidRPr="004E642C">
              <w:rPr>
                <w:rFonts w:eastAsia="Arial" w:cs="Arial"/>
                <w:sz w:val="22"/>
                <w:szCs w:val="22"/>
              </w:rPr>
              <w:t>advise when the individual can be vaccinated and ensure another appointment is arranged.</w:t>
            </w:r>
          </w:p>
          <w:p w14:paraId="18702E50" w14:textId="77777777" w:rsidR="00A9315C" w:rsidRPr="004E642C" w:rsidRDefault="00A9315C" w:rsidP="00A9315C">
            <w:pPr>
              <w:pStyle w:val="TableParagraph"/>
              <w:spacing w:before="120" w:after="120"/>
              <w:rPr>
                <w:rFonts w:ascii="Arial" w:eastAsiaTheme="minorHAnsi" w:hAnsi="Arial" w:cs="Arial"/>
                <w:lang w:val="en-GB"/>
              </w:rPr>
            </w:pPr>
            <w:r w:rsidRPr="004E642C">
              <w:rPr>
                <w:rFonts w:ascii="Arial" w:eastAsiaTheme="minorHAnsi" w:hAnsi="Arial" w:cs="Arial"/>
                <w:lang w:val="en-GB"/>
              </w:rPr>
              <w:t xml:space="preserve">Seek appropriate advice from the local Screening and Immunisation Team, </w:t>
            </w:r>
            <w:r>
              <w:rPr>
                <w:rFonts w:ascii="Arial" w:eastAsiaTheme="minorHAnsi" w:hAnsi="Arial" w:cs="Arial"/>
                <w:lang w:val="en-GB"/>
              </w:rPr>
              <w:t>local</w:t>
            </w:r>
            <w:r w:rsidRPr="004E642C">
              <w:rPr>
                <w:rFonts w:ascii="Arial" w:eastAsiaTheme="minorHAnsi" w:hAnsi="Arial" w:cs="Arial"/>
                <w:lang w:val="en-GB"/>
              </w:rPr>
              <w:t xml:space="preserve"> Health Protection </w:t>
            </w:r>
            <w:r>
              <w:rPr>
                <w:rFonts w:ascii="Arial" w:eastAsiaTheme="minorHAnsi" w:hAnsi="Arial" w:cs="Arial"/>
                <w:lang w:val="en-GB"/>
              </w:rPr>
              <w:t xml:space="preserve">Team </w:t>
            </w:r>
            <w:r w:rsidRPr="004E642C">
              <w:rPr>
                <w:rFonts w:ascii="Arial" w:eastAsiaTheme="minorHAnsi" w:hAnsi="Arial" w:cs="Arial"/>
                <w:lang w:val="en-GB"/>
              </w:rPr>
              <w:t>or the individual’s clinician as required.</w:t>
            </w:r>
          </w:p>
          <w:p w14:paraId="22AD7081" w14:textId="77777777" w:rsidR="00A9315C" w:rsidRPr="004E642C" w:rsidRDefault="00A9315C" w:rsidP="00A9315C">
            <w:pPr>
              <w:pStyle w:val="TableParagraph"/>
              <w:spacing w:before="120" w:after="120"/>
              <w:ind w:right="164"/>
              <w:rPr>
                <w:rFonts w:ascii="Arial" w:eastAsiaTheme="minorHAnsi" w:hAnsi="Arial" w:cs="Arial"/>
                <w:lang w:val="en-GB"/>
              </w:rPr>
            </w:pPr>
            <w:r w:rsidRPr="004E642C">
              <w:rPr>
                <w:rFonts w:ascii="Arial" w:eastAsiaTheme="minorHAnsi" w:hAnsi="Arial" w:cs="Arial"/>
                <w:lang w:val="en-GB"/>
              </w:rPr>
              <w:t>The risk to the individual of not being immunised must be taken into account.</w:t>
            </w:r>
          </w:p>
          <w:p w14:paraId="72C1DC9A" w14:textId="77777777" w:rsidR="00A9315C" w:rsidRPr="004E642C" w:rsidRDefault="00A9315C" w:rsidP="00A9315C">
            <w:pPr>
              <w:pStyle w:val="Header"/>
              <w:spacing w:before="120" w:after="120"/>
              <w:rPr>
                <w:rFonts w:ascii="Arial" w:eastAsia="Calibri" w:hAnsi="Arial" w:cs="Arial"/>
                <w:sz w:val="22"/>
                <w:szCs w:val="22"/>
                <w:lang w:val="en-US" w:eastAsia="en-US"/>
              </w:rPr>
            </w:pPr>
            <w:r w:rsidRPr="004E642C">
              <w:rPr>
                <w:rFonts w:ascii="Arial" w:eastAsia="Calibri" w:hAnsi="Arial" w:cs="Arial"/>
                <w:sz w:val="22"/>
                <w:szCs w:val="22"/>
                <w:lang w:val="en-US" w:eastAsia="en-US"/>
              </w:rPr>
              <w:t>Document the reason for exclusion and any action taken in the individual’s clinical records.</w:t>
            </w:r>
          </w:p>
          <w:p w14:paraId="436B3C30" w14:textId="1238F4B0" w:rsidR="00E275E0" w:rsidRPr="007762BD" w:rsidRDefault="00A9315C" w:rsidP="00A9315C">
            <w:pPr>
              <w:pStyle w:val="TableParagraph"/>
              <w:spacing w:before="120" w:after="120"/>
              <w:rPr>
                <w:rFonts w:ascii="Arial" w:eastAsia="Arial" w:hAnsi="Arial" w:cs="Arial"/>
                <w:color w:val="FF0000"/>
              </w:rPr>
            </w:pPr>
            <w:r w:rsidRPr="004E642C">
              <w:rPr>
                <w:rFonts w:ascii="Arial" w:hAnsi="Arial" w:cs="Arial"/>
              </w:rPr>
              <w:t>In a GP practice setting, inform or refer to the GP or a prescriber as appropriate.</w:t>
            </w:r>
          </w:p>
        </w:tc>
      </w:tr>
      <w:tr w:rsidR="00A956FD" w:rsidRPr="00A956FD" w14:paraId="07088B50" w14:textId="77777777" w:rsidTr="00E47B6D">
        <w:tc>
          <w:tcPr>
            <w:tcW w:w="2977" w:type="dxa"/>
          </w:tcPr>
          <w:p w14:paraId="4A73E579" w14:textId="29D3EF1A"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6946" w:type="dxa"/>
          </w:tcPr>
          <w:p w14:paraId="5C807479" w14:textId="77777777" w:rsidR="00A9315C" w:rsidRPr="00C10BD3" w:rsidRDefault="00A9315C" w:rsidP="00A9315C">
            <w:pPr>
              <w:spacing w:before="120" w:after="120"/>
              <w:rPr>
                <w:rFonts w:cs="Arial"/>
                <w:sz w:val="22"/>
                <w:szCs w:val="22"/>
                <w:lang w:val="en-US"/>
              </w:rPr>
            </w:pPr>
            <w:r w:rsidRPr="00C10BD3">
              <w:rPr>
                <w:rFonts w:cs="Arial"/>
                <w:sz w:val="22"/>
                <w:szCs w:val="22"/>
                <w:lang w:val="en-US"/>
              </w:rPr>
              <w:t>Informed consent, from the individual or a person legally able to act on the person’s behalf, must be obtained for each administration.</w:t>
            </w:r>
          </w:p>
          <w:p w14:paraId="1391EB3D" w14:textId="77777777" w:rsidR="00A9315C" w:rsidRPr="00C10BD3" w:rsidRDefault="00A9315C" w:rsidP="00A9315C">
            <w:pPr>
              <w:spacing w:after="120"/>
              <w:rPr>
                <w:rFonts w:cs="Arial"/>
                <w:sz w:val="22"/>
                <w:szCs w:val="22"/>
                <w:lang w:val="en-US"/>
              </w:rPr>
            </w:pPr>
            <w:r w:rsidRPr="00C10BD3">
              <w:rPr>
                <w:rFonts w:cs="Arial"/>
                <w:sz w:val="22"/>
                <w:szCs w:val="22"/>
                <w:lang w:val="en-US"/>
              </w:rPr>
              <w:t>Advise the individual/parent/carer about the protective effects of the vaccine, the risks of infection and potential complications.</w:t>
            </w:r>
          </w:p>
          <w:p w14:paraId="5FFA3AC1" w14:textId="77777777" w:rsidR="00A9315C" w:rsidRPr="00C10BD3" w:rsidRDefault="00A9315C" w:rsidP="00A9315C">
            <w:pPr>
              <w:spacing w:after="120"/>
              <w:rPr>
                <w:rFonts w:cs="Arial"/>
                <w:sz w:val="22"/>
                <w:szCs w:val="22"/>
              </w:rPr>
            </w:pPr>
            <w:r w:rsidRPr="00C10BD3">
              <w:rPr>
                <w:rFonts w:cs="Arial"/>
                <w:sz w:val="22"/>
                <w:szCs w:val="22"/>
              </w:rPr>
              <w:t xml:space="preserve">Document advice given and the decision reached. </w:t>
            </w:r>
          </w:p>
          <w:p w14:paraId="44A19CC8" w14:textId="1DACF5C7" w:rsidR="00BA16C1" w:rsidRPr="00C11CF5" w:rsidRDefault="00A9315C" w:rsidP="00A9315C">
            <w:pPr>
              <w:spacing w:after="120"/>
              <w:rPr>
                <w:rFonts w:cs="Arial"/>
                <w:sz w:val="22"/>
                <w:szCs w:val="22"/>
              </w:rPr>
            </w:pPr>
            <w:r w:rsidRPr="00C10BD3">
              <w:rPr>
                <w:rFonts w:cs="Arial"/>
                <w:sz w:val="22"/>
                <w:szCs w:val="22"/>
              </w:rPr>
              <w:t>In a GP practice setting, inform or refer to the GP as appropriate.</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60B4DCFD" w:rsidR="00032A94" w:rsidRPr="00C11CF5" w:rsidRDefault="00F3696E" w:rsidP="00B4381D">
            <w:pPr>
              <w:spacing w:before="120" w:after="120"/>
              <w:rPr>
                <w:rFonts w:cs="Arial"/>
                <w:sz w:val="22"/>
                <w:szCs w:val="22"/>
              </w:rPr>
            </w:pPr>
            <w:r w:rsidRPr="00C10BD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0545F3">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87180E">
        <w:tc>
          <w:tcPr>
            <w:tcW w:w="2977" w:type="dxa"/>
          </w:tcPr>
          <w:p w14:paraId="2651F9BA" w14:textId="77777777"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2DF935BF" w14:textId="356F9401" w:rsidR="00D71F5D" w:rsidRPr="00262E3C" w:rsidRDefault="00911A85" w:rsidP="00D71F5D">
            <w:pPr>
              <w:spacing w:before="120" w:after="120"/>
              <w:ind w:left="34"/>
              <w:rPr>
                <w:rFonts w:cs="Arial"/>
                <w:sz w:val="22"/>
                <w:szCs w:val="22"/>
                <w:lang w:val="en"/>
              </w:rPr>
            </w:pPr>
            <w:r>
              <w:rPr>
                <w:rFonts w:cs="Arial"/>
                <w:sz w:val="22"/>
                <w:szCs w:val="22"/>
              </w:rPr>
              <w:t xml:space="preserve">Typhoid </w:t>
            </w:r>
            <w:r w:rsidR="00417636">
              <w:rPr>
                <w:rFonts w:cs="Arial"/>
                <w:sz w:val="22"/>
                <w:szCs w:val="22"/>
              </w:rPr>
              <w:t xml:space="preserve">Vi </w:t>
            </w:r>
            <w:r>
              <w:rPr>
                <w:rFonts w:cs="Arial"/>
                <w:sz w:val="22"/>
                <w:szCs w:val="22"/>
              </w:rPr>
              <w:t xml:space="preserve">polysaccharide vaccine, </w:t>
            </w:r>
            <w:r w:rsidR="00CE7D0E">
              <w:rPr>
                <w:rFonts w:cs="Arial"/>
                <w:sz w:val="22"/>
                <w:szCs w:val="22"/>
              </w:rPr>
              <w:t xml:space="preserve">0.5ml dose </w:t>
            </w:r>
            <w:r>
              <w:rPr>
                <w:rFonts w:cs="Arial"/>
                <w:sz w:val="22"/>
                <w:szCs w:val="22"/>
              </w:rPr>
              <w:t xml:space="preserve">containing 25 micrograms Vi polysaccharide of </w:t>
            </w:r>
            <w:r w:rsidRPr="00911A85">
              <w:rPr>
                <w:rFonts w:cs="Arial"/>
                <w:i/>
                <w:sz w:val="22"/>
                <w:szCs w:val="22"/>
              </w:rPr>
              <w:t>S. typhi</w:t>
            </w:r>
            <w:r>
              <w:rPr>
                <w:rFonts w:cs="Arial"/>
                <w:sz w:val="22"/>
                <w:szCs w:val="22"/>
              </w:rPr>
              <w:t xml:space="preserve"> (Ty2 strain) </w:t>
            </w:r>
            <w:r w:rsidR="00D71F5D" w:rsidRPr="00262E3C">
              <w:rPr>
                <w:rFonts w:cs="Arial"/>
                <w:sz w:val="22"/>
                <w:szCs w:val="22"/>
              </w:rPr>
              <w:t>e</w:t>
            </w:r>
            <w:r w:rsidR="00D71F5D" w:rsidRPr="00262E3C">
              <w:rPr>
                <w:rFonts w:cs="Arial"/>
                <w:sz w:val="22"/>
                <w:szCs w:val="22"/>
                <w:lang w:val="en"/>
              </w:rPr>
              <w:t>g:</w:t>
            </w:r>
          </w:p>
          <w:p w14:paraId="55B8A978" w14:textId="64E31BA7" w:rsidR="004E3C6B" w:rsidRPr="00FB3B0B" w:rsidRDefault="004E3C6B" w:rsidP="000545F3">
            <w:pPr>
              <w:pStyle w:val="ListParagraph"/>
              <w:numPr>
                <w:ilvl w:val="0"/>
                <w:numId w:val="6"/>
              </w:numPr>
              <w:spacing w:after="120"/>
              <w:rPr>
                <w:rFonts w:cs="Arial"/>
                <w:sz w:val="22"/>
                <w:szCs w:val="22"/>
              </w:rPr>
            </w:pPr>
            <w:r w:rsidRPr="00FB3B0B">
              <w:rPr>
                <w:rFonts w:cs="Arial"/>
                <w:sz w:val="22"/>
                <w:szCs w:val="22"/>
                <w:lang w:val="en"/>
              </w:rPr>
              <w:t>TYPHIM Vi</w:t>
            </w:r>
            <w:r w:rsidR="00D71F5D" w:rsidRPr="00FB3B0B">
              <w:rPr>
                <w:rFonts w:cs="Arial"/>
                <w:sz w:val="22"/>
                <w:szCs w:val="22"/>
                <w:vertAlign w:val="superscript"/>
                <w:lang w:val="en"/>
              </w:rPr>
              <w:t>®</w:t>
            </w:r>
            <w:r w:rsidR="00D71F5D" w:rsidRPr="00FB3B0B">
              <w:rPr>
                <w:rFonts w:cs="Arial"/>
                <w:sz w:val="22"/>
                <w:szCs w:val="22"/>
                <w:lang w:val="en"/>
              </w:rPr>
              <w:t xml:space="preserve"> </w:t>
            </w:r>
            <w:r w:rsidR="00441B17" w:rsidRPr="00FB3B0B">
              <w:rPr>
                <w:rFonts w:cs="Arial"/>
                <w:sz w:val="22"/>
                <w:szCs w:val="22"/>
                <w:lang w:val="en"/>
              </w:rPr>
              <w:t>v</w:t>
            </w:r>
            <w:r w:rsidR="00D71F5D" w:rsidRPr="00FB3B0B">
              <w:rPr>
                <w:rFonts w:cs="Arial"/>
                <w:sz w:val="22"/>
                <w:szCs w:val="22"/>
                <w:lang w:val="en"/>
              </w:rPr>
              <w:t>accine</w:t>
            </w:r>
            <w:r w:rsidR="00D244CF" w:rsidRPr="00FB3B0B">
              <w:rPr>
                <w:rFonts w:cs="Arial"/>
                <w:sz w:val="22"/>
                <w:szCs w:val="22"/>
                <w:lang w:val="en"/>
              </w:rPr>
              <w:t>,</w:t>
            </w:r>
            <w:r w:rsidR="00D71F5D" w:rsidRPr="00FB3B0B">
              <w:rPr>
                <w:rFonts w:cs="Arial"/>
                <w:sz w:val="22"/>
                <w:szCs w:val="22"/>
                <w:lang w:val="en"/>
              </w:rPr>
              <w:t xml:space="preserve"> </w:t>
            </w:r>
            <w:r w:rsidRPr="00FB3B0B">
              <w:rPr>
                <w:rFonts w:cs="Arial"/>
                <w:sz w:val="22"/>
                <w:szCs w:val="22"/>
                <w:lang w:val="en"/>
              </w:rPr>
              <w:t>solution for injection</w:t>
            </w:r>
            <w:r w:rsidR="009B6BE7" w:rsidRPr="00FB3B0B">
              <w:rPr>
                <w:rFonts w:cs="Arial"/>
                <w:sz w:val="22"/>
                <w:szCs w:val="22"/>
                <w:lang w:val="en"/>
              </w:rPr>
              <w:t xml:space="preserve"> in a pre-filled syringe</w:t>
            </w:r>
          </w:p>
          <w:p w14:paraId="31E615FC" w14:textId="39E20919" w:rsidR="00D71F5D" w:rsidRPr="00B6376A" w:rsidRDefault="004E3C6B" w:rsidP="00B6376A">
            <w:pPr>
              <w:spacing w:after="120"/>
              <w:rPr>
                <w:rFonts w:cs="Arial"/>
                <w:sz w:val="22"/>
                <w:szCs w:val="22"/>
              </w:rPr>
            </w:pPr>
            <w:r>
              <w:rPr>
                <w:rFonts w:cs="Arial"/>
                <w:sz w:val="22"/>
                <w:szCs w:val="22"/>
              </w:rPr>
              <w:t>Note: This PGD does not cover the supply or administration of</w:t>
            </w:r>
            <w:r w:rsidR="009B6BE7">
              <w:rPr>
                <w:rFonts w:cs="Arial"/>
                <w:sz w:val="22"/>
                <w:szCs w:val="22"/>
              </w:rPr>
              <w:t xml:space="preserve"> the</w:t>
            </w:r>
            <w:r>
              <w:rPr>
                <w:rFonts w:cs="Arial"/>
                <w:sz w:val="22"/>
                <w:szCs w:val="22"/>
              </w:rPr>
              <w:t xml:space="preserve"> live oral </w:t>
            </w:r>
            <w:r w:rsidR="009B6BE7">
              <w:rPr>
                <w:rFonts w:cs="Arial"/>
                <w:sz w:val="22"/>
                <w:szCs w:val="22"/>
              </w:rPr>
              <w:t>(</w:t>
            </w:r>
            <w:r>
              <w:rPr>
                <w:rFonts w:cs="Arial"/>
                <w:sz w:val="22"/>
                <w:szCs w:val="22"/>
              </w:rPr>
              <w:t>Ty21a</w:t>
            </w:r>
            <w:r w:rsidR="009B6BE7">
              <w:rPr>
                <w:rFonts w:cs="Arial"/>
                <w:sz w:val="22"/>
                <w:szCs w:val="22"/>
              </w:rPr>
              <w:t>) typhoid vaccine, Vivotif</w:t>
            </w:r>
            <w:r w:rsidR="009B6BE7" w:rsidRPr="00441B17">
              <w:rPr>
                <w:rFonts w:cs="Arial"/>
                <w:b/>
                <w:sz w:val="22"/>
                <w:szCs w:val="22"/>
                <w:vertAlign w:val="superscript"/>
                <w:lang w:val="en"/>
              </w:rPr>
              <w:t>®</w:t>
            </w:r>
            <w:r w:rsidR="009B6BE7">
              <w:rPr>
                <w:rFonts w:cs="Arial"/>
                <w:sz w:val="22"/>
                <w:szCs w:val="22"/>
              </w:rPr>
              <w:t>.</w:t>
            </w:r>
            <w:r w:rsidR="001077D7">
              <w:rPr>
                <w:rStyle w:val="FootnoteReference"/>
                <w:rFonts w:cs="Arial"/>
                <w:sz w:val="22"/>
                <w:szCs w:val="22"/>
              </w:rPr>
              <w:footnoteReference w:id="4"/>
            </w:r>
          </w:p>
        </w:tc>
      </w:tr>
      <w:tr w:rsidR="00D71F5D" w:rsidRPr="00A956FD" w14:paraId="62BA2F20" w14:textId="77777777" w:rsidTr="0087180E">
        <w:tc>
          <w:tcPr>
            <w:tcW w:w="2977" w:type="dxa"/>
          </w:tcPr>
          <w:p w14:paraId="337EA9F6" w14:textId="284A4BBE" w:rsidR="00D71F5D" w:rsidRPr="00EC1908" w:rsidRDefault="00D71F5D" w:rsidP="007E045E">
            <w:pPr>
              <w:spacing w:before="120" w:after="120"/>
              <w:rPr>
                <w:rFonts w:cs="Arial"/>
                <w:b/>
                <w:sz w:val="22"/>
                <w:szCs w:val="22"/>
              </w:rPr>
            </w:pPr>
            <w:r w:rsidRPr="00EC1908">
              <w:rPr>
                <w:rFonts w:cs="Arial"/>
                <w:b/>
                <w:sz w:val="22"/>
                <w:szCs w:val="22"/>
              </w:rPr>
              <w:t>Legal category</w:t>
            </w:r>
          </w:p>
        </w:tc>
        <w:tc>
          <w:tcPr>
            <w:tcW w:w="6946" w:type="dxa"/>
          </w:tcPr>
          <w:p w14:paraId="1D4B098D" w14:textId="64FFEF1D" w:rsidR="00D71F5D" w:rsidRPr="008B4620" w:rsidRDefault="00D71F5D" w:rsidP="00BE1835">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D71F5D" w:rsidRPr="00A956FD" w14:paraId="69AE2E16" w14:textId="77777777" w:rsidTr="0087180E">
        <w:tc>
          <w:tcPr>
            <w:tcW w:w="2977" w:type="dxa"/>
          </w:tcPr>
          <w:p w14:paraId="1BAED4B7" w14:textId="77777777" w:rsidR="00D71F5D" w:rsidRPr="00EC1908" w:rsidRDefault="00D71F5D"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498520B9" w:rsidR="00D71F5D" w:rsidRPr="008B4620" w:rsidRDefault="00D71F5D" w:rsidP="00BE1835">
            <w:pPr>
              <w:spacing w:before="120" w:after="120"/>
            </w:pPr>
            <w:r w:rsidRPr="00881504">
              <w:rPr>
                <w:sz w:val="22"/>
                <w:szCs w:val="22"/>
              </w:rPr>
              <w:t>No</w:t>
            </w:r>
          </w:p>
        </w:tc>
      </w:tr>
      <w:tr w:rsidR="00D71F5D" w:rsidRPr="00A956FD" w14:paraId="040EA6E8" w14:textId="77777777" w:rsidTr="0087180E">
        <w:tc>
          <w:tcPr>
            <w:tcW w:w="2977" w:type="dxa"/>
          </w:tcPr>
          <w:p w14:paraId="5A2AEA5E" w14:textId="77777777" w:rsidR="00D71F5D" w:rsidRPr="00090CE1" w:rsidRDefault="00D71F5D" w:rsidP="007E045E">
            <w:pPr>
              <w:spacing w:before="120" w:after="120"/>
              <w:rPr>
                <w:rFonts w:cs="Arial"/>
                <w:b/>
                <w:sz w:val="22"/>
                <w:szCs w:val="22"/>
              </w:rPr>
            </w:pPr>
            <w:bookmarkStart w:id="3" w:name="OffLabel"/>
            <w:bookmarkEnd w:id="3"/>
            <w:r w:rsidRPr="00090CE1">
              <w:rPr>
                <w:rFonts w:cs="Arial"/>
                <w:b/>
                <w:sz w:val="22"/>
                <w:szCs w:val="22"/>
              </w:rPr>
              <w:t>Off-label use</w:t>
            </w:r>
          </w:p>
        </w:tc>
        <w:tc>
          <w:tcPr>
            <w:tcW w:w="6946" w:type="dxa"/>
          </w:tcPr>
          <w:p w14:paraId="7D492B05" w14:textId="0A5C7959" w:rsidR="00FB3B0B" w:rsidRDefault="00FB3B0B" w:rsidP="00832E89">
            <w:pPr>
              <w:spacing w:before="120"/>
              <w:rPr>
                <w:sz w:val="22"/>
                <w:szCs w:val="22"/>
              </w:rPr>
            </w:pPr>
            <w:r w:rsidRPr="00FB3B0B">
              <w:rPr>
                <w:rFonts w:cs="Arial"/>
                <w:sz w:val="22"/>
                <w:szCs w:val="22"/>
                <w:lang w:val="en"/>
              </w:rPr>
              <w:t>TYPHIM Vi</w:t>
            </w:r>
            <w:r w:rsidRPr="00FB3B0B">
              <w:rPr>
                <w:rFonts w:cs="Arial"/>
                <w:sz w:val="22"/>
                <w:szCs w:val="22"/>
                <w:vertAlign w:val="superscript"/>
                <w:lang w:val="en"/>
              </w:rPr>
              <w:t>®</w:t>
            </w:r>
            <w:r w:rsidRPr="00FB3B0B">
              <w:rPr>
                <w:rFonts w:cs="Arial"/>
                <w:sz w:val="22"/>
                <w:szCs w:val="22"/>
                <w:lang w:val="en"/>
              </w:rPr>
              <w:t xml:space="preserve"> </w:t>
            </w:r>
            <w:r>
              <w:rPr>
                <w:sz w:val="22"/>
                <w:szCs w:val="22"/>
              </w:rPr>
              <w:t>v</w:t>
            </w:r>
            <w:r w:rsidR="007B3C65">
              <w:rPr>
                <w:sz w:val="22"/>
                <w:szCs w:val="22"/>
              </w:rPr>
              <w:t>accine</w:t>
            </w:r>
            <w:r w:rsidR="00ED22A4">
              <w:rPr>
                <w:sz w:val="22"/>
                <w:szCs w:val="22"/>
              </w:rPr>
              <w:t xml:space="preserve"> may be administered off-label to </w:t>
            </w:r>
            <w:r>
              <w:rPr>
                <w:sz w:val="22"/>
                <w:szCs w:val="22"/>
              </w:rPr>
              <w:t>children between the age of 12 months and two years if the risk of typhoid fever is considered to be high</w:t>
            </w:r>
            <w:r w:rsidR="0007362C">
              <w:rPr>
                <w:sz w:val="22"/>
                <w:szCs w:val="22"/>
              </w:rPr>
              <w:t>,</w:t>
            </w:r>
            <w:r>
              <w:rPr>
                <w:sz w:val="22"/>
                <w:szCs w:val="22"/>
              </w:rPr>
              <w:t xml:space="preserve"> in accordance with the recommendations in </w:t>
            </w:r>
            <w:hyperlink r:id="rId23" w:history="1">
              <w:r w:rsidRPr="00953116">
                <w:rPr>
                  <w:rStyle w:val="Hyperlink"/>
                  <w:rFonts w:cs="Arial"/>
                  <w:sz w:val="22"/>
                  <w:szCs w:val="22"/>
                </w:rPr>
                <w:t>Chapter 33</w:t>
              </w:r>
            </w:hyperlink>
            <w:r>
              <w:rPr>
                <w:sz w:val="22"/>
                <w:szCs w:val="22"/>
              </w:rPr>
              <w:t xml:space="preserve"> of “The Green Book”</w:t>
            </w:r>
            <w:r w:rsidR="007B6ABD">
              <w:rPr>
                <w:sz w:val="22"/>
                <w:szCs w:val="22"/>
              </w:rPr>
              <w:t xml:space="preserve"> and </w:t>
            </w:r>
            <w:hyperlink r:id="rId24" w:history="1">
              <w:r w:rsidR="007B6ABD" w:rsidRPr="00607562">
                <w:rPr>
                  <w:rStyle w:val="Hyperlink"/>
                  <w:sz w:val="22"/>
                  <w:szCs w:val="22"/>
                </w:rPr>
                <w:t>NaTHNaC</w:t>
              </w:r>
            </w:hyperlink>
            <w:r w:rsidR="0002627B">
              <w:rPr>
                <w:sz w:val="22"/>
                <w:szCs w:val="22"/>
              </w:rPr>
              <w:t>.</w:t>
            </w:r>
          </w:p>
          <w:p w14:paraId="2CEB8F10" w14:textId="311A5F2C" w:rsidR="00E80B26" w:rsidRPr="0007362C" w:rsidRDefault="00E80B26" w:rsidP="00E64788">
            <w:pPr>
              <w:spacing w:before="120" w:after="120"/>
              <w:rPr>
                <w:rFonts w:cs="Arial"/>
                <w:sz w:val="22"/>
                <w:szCs w:val="22"/>
                <w:lang w:val="en"/>
              </w:rPr>
            </w:pPr>
            <w:r w:rsidRPr="00E80B26">
              <w:rPr>
                <w:rFonts w:cs="Arial"/>
                <w:sz w:val="22"/>
                <w:szCs w:val="22"/>
                <w:lang w:val="en"/>
              </w:rPr>
              <w:t xml:space="preserve">Vaccine should be stored according to the conditions detailed in the </w:t>
            </w:r>
            <w:hyperlink w:anchor="Storage" w:history="1">
              <w:r w:rsidRPr="00D82521">
                <w:rPr>
                  <w:rStyle w:val="Hyperlink"/>
                  <w:rFonts w:cs="Arial"/>
                  <w:sz w:val="22"/>
                  <w:szCs w:val="22"/>
                  <w:lang w:val="en"/>
                </w:rPr>
                <w:t>Storage section</w:t>
              </w:r>
            </w:hyperlink>
            <w:r w:rsidRPr="00E80B26">
              <w:rPr>
                <w:rFonts w:cs="Arial"/>
                <w:sz w:val="22"/>
                <w:szCs w:val="22"/>
                <w:lang w:val="en"/>
              </w:rPr>
              <w:t xml:space="preserve"> below. However, in the event of an inadvertent or unavoidable deviation of these conditions refer to</w:t>
            </w:r>
            <w:r w:rsidR="00D82521">
              <w:rPr>
                <w:rFonts w:cs="Arial"/>
                <w:sz w:val="22"/>
                <w:szCs w:val="22"/>
                <w:lang w:val="en"/>
              </w:rPr>
              <w:t xml:space="preserve"> </w:t>
            </w:r>
            <w:hyperlink r:id="rId25" w:history="1">
              <w:r w:rsidR="00D82521" w:rsidRPr="00D82521">
                <w:rPr>
                  <w:rStyle w:val="Hyperlink"/>
                  <w:rFonts w:cs="Arial"/>
                  <w:sz w:val="22"/>
                  <w:szCs w:val="22"/>
                  <w:lang w:val="en"/>
                </w:rPr>
                <w:t>PHE Vaccine Incident Guidance</w:t>
              </w:r>
            </w:hyperlink>
            <w:r w:rsidRPr="00E80B26">
              <w:rPr>
                <w:rFonts w:cs="Arial"/>
                <w:sz w:val="22"/>
                <w:szCs w:val="22"/>
                <w:lang w:val="en"/>
              </w:rPr>
              <w:t>. Where vaccine is assessed in accordance with these guidelines as appropriate for continued use this would constitute off-label administration under this PGD.</w:t>
            </w:r>
          </w:p>
          <w:p w14:paraId="3B6DF2F6" w14:textId="60832AA8" w:rsidR="00D71F5D" w:rsidRPr="008C449D" w:rsidRDefault="00D71F5D" w:rsidP="00232D6F">
            <w:pPr>
              <w:spacing w:before="120" w:after="120"/>
              <w:rPr>
                <w:rFonts w:cs="Arial"/>
                <w:sz w:val="22"/>
                <w:szCs w:val="22"/>
                <w:lang w:val="en"/>
              </w:rPr>
            </w:pPr>
            <w:r w:rsidRPr="00666CBB">
              <w:rPr>
                <w:rFonts w:cs="Arial"/>
                <w:iCs/>
                <w:sz w:val="22"/>
                <w:szCs w:val="22"/>
              </w:rPr>
              <w:t>Where a vaccine is recommended off-label consider, as part of the consent process, informing the individual/pa</w:t>
            </w:r>
            <w:r w:rsidR="00232D6F">
              <w:rPr>
                <w:rFonts w:cs="Arial"/>
                <w:iCs/>
                <w:sz w:val="22"/>
                <w:szCs w:val="22"/>
              </w:rPr>
              <w:t>rent</w:t>
            </w:r>
            <w:r w:rsidRPr="00666CBB">
              <w:rPr>
                <w:rFonts w:cs="Arial"/>
                <w:iCs/>
                <w:sz w:val="22"/>
                <w:szCs w:val="22"/>
              </w:rPr>
              <w:t xml:space="preserve">/carer that the vaccine is being offered in accordance with national guidance but that this is outside the product licence. </w:t>
            </w:r>
          </w:p>
        </w:tc>
      </w:tr>
      <w:tr w:rsidR="00A956FD" w:rsidRPr="00A956FD" w14:paraId="275F250B" w14:textId="77777777" w:rsidTr="0087180E">
        <w:tc>
          <w:tcPr>
            <w:tcW w:w="2977" w:type="dxa"/>
          </w:tcPr>
          <w:p w14:paraId="1618C4F2" w14:textId="716EA74D" w:rsidR="006D2947" w:rsidRDefault="006D2947" w:rsidP="007E045E">
            <w:pPr>
              <w:spacing w:before="120" w:after="120"/>
              <w:rPr>
                <w:rFonts w:cs="Arial"/>
                <w:b/>
                <w:sz w:val="22"/>
                <w:szCs w:val="22"/>
              </w:rPr>
            </w:pPr>
            <w:r w:rsidRPr="00090CE1">
              <w:rPr>
                <w:rFonts w:cs="Arial"/>
                <w:b/>
                <w:sz w:val="22"/>
                <w:szCs w:val="22"/>
              </w:rPr>
              <w:t>Route / method</w:t>
            </w:r>
            <w:r w:rsidR="00032A94" w:rsidRPr="00090CE1">
              <w:rPr>
                <w:rFonts w:cs="Arial"/>
                <w:b/>
                <w:sz w:val="22"/>
                <w:szCs w:val="22"/>
              </w:rPr>
              <w:t xml:space="preserve"> of administration</w:t>
            </w:r>
          </w:p>
          <w:p w14:paraId="3FEAD588" w14:textId="77777777" w:rsidR="005C23F5" w:rsidRDefault="005C23F5" w:rsidP="007E045E">
            <w:pPr>
              <w:spacing w:before="120" w:after="120"/>
              <w:rPr>
                <w:rFonts w:cs="Arial"/>
                <w:b/>
                <w:sz w:val="22"/>
                <w:szCs w:val="22"/>
              </w:rPr>
            </w:pPr>
          </w:p>
          <w:p w14:paraId="7D722E82" w14:textId="77777777" w:rsidR="005C23F5" w:rsidRPr="005C23F5" w:rsidRDefault="005C23F5" w:rsidP="007E045E">
            <w:pPr>
              <w:spacing w:before="120" w:after="120"/>
              <w:rPr>
                <w:rFonts w:cs="Arial"/>
                <w:sz w:val="22"/>
                <w:szCs w:val="22"/>
              </w:rPr>
            </w:pPr>
          </w:p>
          <w:p w14:paraId="5FC64D6B" w14:textId="77777777" w:rsidR="005C23F5" w:rsidRDefault="005C23F5" w:rsidP="005C23F5">
            <w:pPr>
              <w:spacing w:before="120" w:after="120"/>
              <w:contextualSpacing/>
              <w:rPr>
                <w:rFonts w:cs="Arial"/>
                <w:sz w:val="22"/>
                <w:szCs w:val="22"/>
              </w:rPr>
            </w:pPr>
          </w:p>
          <w:p w14:paraId="707E9A8C" w14:textId="77777777" w:rsidR="005C23F5" w:rsidRDefault="005C23F5" w:rsidP="005C23F5">
            <w:pPr>
              <w:spacing w:before="120" w:after="120"/>
              <w:contextualSpacing/>
              <w:rPr>
                <w:rFonts w:cs="Arial"/>
                <w:sz w:val="22"/>
                <w:szCs w:val="22"/>
              </w:rPr>
            </w:pPr>
          </w:p>
          <w:p w14:paraId="6CD71379" w14:textId="77777777" w:rsidR="005C23F5" w:rsidRDefault="005C23F5" w:rsidP="005C23F5">
            <w:pPr>
              <w:spacing w:before="120" w:after="120"/>
              <w:contextualSpacing/>
              <w:rPr>
                <w:rFonts w:cs="Arial"/>
                <w:sz w:val="22"/>
                <w:szCs w:val="22"/>
              </w:rPr>
            </w:pPr>
          </w:p>
          <w:p w14:paraId="7A78C948" w14:textId="77777777" w:rsidR="005C23F5" w:rsidRDefault="005C23F5" w:rsidP="005C23F5">
            <w:pPr>
              <w:spacing w:before="120" w:after="120"/>
              <w:contextualSpacing/>
              <w:rPr>
                <w:rFonts w:cs="Arial"/>
                <w:sz w:val="22"/>
                <w:szCs w:val="22"/>
              </w:rPr>
            </w:pPr>
          </w:p>
          <w:p w14:paraId="578997EA" w14:textId="77777777" w:rsidR="00701A3B" w:rsidRDefault="00701A3B" w:rsidP="005C23F5">
            <w:pPr>
              <w:spacing w:before="120" w:after="120"/>
              <w:contextualSpacing/>
              <w:rPr>
                <w:rFonts w:cs="Arial"/>
                <w:sz w:val="22"/>
                <w:szCs w:val="22"/>
              </w:rPr>
            </w:pPr>
          </w:p>
          <w:p w14:paraId="5495C1CD" w14:textId="77777777" w:rsidR="00701A3B" w:rsidRDefault="00701A3B" w:rsidP="005C23F5">
            <w:pPr>
              <w:spacing w:before="120" w:after="120"/>
              <w:contextualSpacing/>
              <w:rPr>
                <w:rFonts w:cs="Arial"/>
                <w:sz w:val="22"/>
                <w:szCs w:val="22"/>
              </w:rPr>
            </w:pPr>
          </w:p>
          <w:p w14:paraId="1038AE7E" w14:textId="77777777" w:rsidR="00701A3B" w:rsidRDefault="00701A3B" w:rsidP="005C23F5">
            <w:pPr>
              <w:spacing w:before="120" w:after="120"/>
              <w:contextualSpacing/>
              <w:rPr>
                <w:rFonts w:cs="Arial"/>
                <w:sz w:val="22"/>
                <w:szCs w:val="22"/>
              </w:rPr>
            </w:pPr>
          </w:p>
          <w:p w14:paraId="698AC328" w14:textId="77777777" w:rsidR="00701A3B" w:rsidRDefault="00701A3B" w:rsidP="005C23F5">
            <w:pPr>
              <w:spacing w:before="120" w:after="120"/>
              <w:contextualSpacing/>
              <w:rPr>
                <w:rFonts w:cs="Arial"/>
                <w:sz w:val="22"/>
                <w:szCs w:val="22"/>
              </w:rPr>
            </w:pPr>
          </w:p>
          <w:p w14:paraId="0B6DB5E4" w14:textId="77777777" w:rsidR="00701A3B" w:rsidRDefault="00701A3B" w:rsidP="005C23F5">
            <w:pPr>
              <w:spacing w:before="120" w:after="120"/>
              <w:contextualSpacing/>
              <w:rPr>
                <w:rFonts w:cs="Arial"/>
                <w:sz w:val="22"/>
                <w:szCs w:val="22"/>
              </w:rPr>
            </w:pPr>
          </w:p>
          <w:p w14:paraId="0AE7B5F0" w14:textId="77777777" w:rsidR="00701A3B" w:rsidRDefault="00701A3B" w:rsidP="005C23F5">
            <w:pPr>
              <w:spacing w:before="120" w:after="120"/>
              <w:contextualSpacing/>
              <w:rPr>
                <w:rFonts w:cs="Arial"/>
                <w:sz w:val="22"/>
                <w:szCs w:val="22"/>
              </w:rPr>
            </w:pPr>
          </w:p>
          <w:p w14:paraId="763B5DF3" w14:textId="77777777" w:rsidR="00701A3B" w:rsidRDefault="00701A3B" w:rsidP="005C23F5">
            <w:pPr>
              <w:spacing w:before="120" w:after="120"/>
              <w:contextualSpacing/>
              <w:rPr>
                <w:rFonts w:cs="Arial"/>
                <w:sz w:val="22"/>
                <w:szCs w:val="22"/>
              </w:rPr>
            </w:pPr>
          </w:p>
          <w:p w14:paraId="5E902218" w14:textId="77777777" w:rsidR="00701A3B" w:rsidRDefault="00701A3B" w:rsidP="005C23F5">
            <w:pPr>
              <w:spacing w:before="120" w:after="120"/>
              <w:contextualSpacing/>
              <w:rPr>
                <w:rFonts w:cs="Arial"/>
                <w:sz w:val="22"/>
                <w:szCs w:val="22"/>
              </w:rPr>
            </w:pPr>
          </w:p>
          <w:p w14:paraId="5A78E56F" w14:textId="77777777" w:rsidR="00701A3B" w:rsidRDefault="00701A3B" w:rsidP="005C23F5">
            <w:pPr>
              <w:spacing w:before="120" w:after="120"/>
              <w:contextualSpacing/>
              <w:rPr>
                <w:rFonts w:cs="Arial"/>
                <w:sz w:val="22"/>
                <w:szCs w:val="22"/>
              </w:rPr>
            </w:pPr>
          </w:p>
          <w:p w14:paraId="6B06B0AF" w14:textId="77777777" w:rsidR="00701A3B" w:rsidRDefault="00701A3B" w:rsidP="005C23F5">
            <w:pPr>
              <w:spacing w:before="120" w:after="120"/>
              <w:contextualSpacing/>
              <w:rPr>
                <w:rFonts w:cs="Arial"/>
                <w:sz w:val="22"/>
                <w:szCs w:val="22"/>
              </w:rPr>
            </w:pPr>
          </w:p>
          <w:p w14:paraId="3B4C0F95" w14:textId="77777777" w:rsidR="005C23F5" w:rsidRPr="005C23F5" w:rsidRDefault="005C23F5" w:rsidP="005C23F5">
            <w:pPr>
              <w:spacing w:before="120" w:after="120"/>
              <w:contextualSpacing/>
              <w:rPr>
                <w:rFonts w:cs="Arial"/>
                <w:sz w:val="22"/>
                <w:szCs w:val="22"/>
              </w:rPr>
            </w:pPr>
            <w:r w:rsidRPr="005C23F5">
              <w:rPr>
                <w:rFonts w:cs="Arial"/>
                <w:sz w:val="22"/>
                <w:szCs w:val="22"/>
              </w:rPr>
              <w:t>Continued over page</w:t>
            </w:r>
          </w:p>
          <w:p w14:paraId="4125B619" w14:textId="7455476E" w:rsidR="008519B2" w:rsidRPr="00701A3B" w:rsidRDefault="005C23F5" w:rsidP="00364359">
            <w:pPr>
              <w:spacing w:before="120" w:after="120"/>
              <w:contextualSpacing/>
              <w:rPr>
                <w:rFonts w:cs="Arial"/>
                <w:sz w:val="22"/>
                <w:szCs w:val="22"/>
              </w:rPr>
            </w:pPr>
            <w:r w:rsidRPr="00090CE1">
              <w:rPr>
                <w:rFonts w:cs="Arial"/>
                <w:b/>
                <w:sz w:val="22"/>
                <w:szCs w:val="22"/>
              </w:rPr>
              <w:lastRenderedPageBreak/>
              <w:t>Route / method of administration</w:t>
            </w:r>
            <w:r w:rsidR="00364359">
              <w:rPr>
                <w:rFonts w:cs="Arial"/>
                <w:b/>
                <w:sz w:val="22"/>
                <w:szCs w:val="22"/>
              </w:rPr>
              <w:t xml:space="preserve"> </w:t>
            </w:r>
            <w:r w:rsidRPr="005C23F5">
              <w:rPr>
                <w:rFonts w:cs="Arial"/>
                <w:sz w:val="22"/>
                <w:szCs w:val="22"/>
              </w:rPr>
              <w:t>(continued)</w:t>
            </w:r>
          </w:p>
        </w:tc>
        <w:tc>
          <w:tcPr>
            <w:tcW w:w="6946" w:type="dxa"/>
          </w:tcPr>
          <w:p w14:paraId="70E918E0" w14:textId="19F46B08" w:rsidR="00D71F5D" w:rsidRPr="002A6999" w:rsidRDefault="00D71F5D" w:rsidP="00D71F5D">
            <w:pPr>
              <w:shd w:val="clear" w:color="auto" w:fill="FFFFFF"/>
              <w:overflowPunct/>
              <w:autoSpaceDE/>
              <w:autoSpaceDN/>
              <w:adjustRightInd/>
              <w:spacing w:before="120" w:after="120"/>
              <w:textAlignment w:val="auto"/>
              <w:rPr>
                <w:rFonts w:cs="Arial"/>
                <w:sz w:val="22"/>
                <w:szCs w:val="22"/>
              </w:rPr>
            </w:pPr>
            <w:r w:rsidRPr="002A6999">
              <w:rPr>
                <w:rFonts w:cs="Arial"/>
                <w:sz w:val="22"/>
                <w:szCs w:val="22"/>
              </w:rPr>
              <w:lastRenderedPageBreak/>
              <w:t xml:space="preserve">Administer by </w:t>
            </w:r>
            <w:r w:rsidRPr="00D71F5D">
              <w:rPr>
                <w:rFonts w:cs="Arial"/>
                <w:sz w:val="22"/>
                <w:szCs w:val="22"/>
              </w:rPr>
              <w:t>intramuscular injection into</w:t>
            </w:r>
            <w:r w:rsidRPr="002A6999">
              <w:rPr>
                <w:rFonts w:cs="Arial"/>
                <w:sz w:val="22"/>
                <w:szCs w:val="22"/>
              </w:rPr>
              <w:t xml:space="preserve"> the deltoid region of the upper arm</w:t>
            </w:r>
            <w:r w:rsidR="00832E89">
              <w:rPr>
                <w:rFonts w:cs="Arial"/>
                <w:sz w:val="22"/>
                <w:szCs w:val="22"/>
              </w:rPr>
              <w:t>.</w:t>
            </w:r>
            <w:r w:rsidRPr="002A6999">
              <w:rPr>
                <w:rFonts w:cs="Arial"/>
                <w:sz w:val="22"/>
                <w:szCs w:val="22"/>
              </w:rPr>
              <w:t xml:space="preserve"> </w:t>
            </w:r>
          </w:p>
          <w:p w14:paraId="396C32CD" w14:textId="77777777" w:rsidR="00D71F5D" w:rsidRDefault="00D71F5D" w:rsidP="00D71F5D">
            <w:pPr>
              <w:spacing w:before="120" w:after="120"/>
              <w:rPr>
                <w:rFonts w:cs="Arial"/>
                <w:sz w:val="22"/>
                <w:szCs w:val="22"/>
              </w:rPr>
            </w:pPr>
            <w:r w:rsidRPr="002A6999">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06E5ABD5" w14:textId="32F57747" w:rsidR="00D71F5D" w:rsidRPr="00F9553C" w:rsidRDefault="00D71F5D" w:rsidP="00D71F5D">
            <w:pPr>
              <w:spacing w:before="120" w:after="120"/>
              <w:rPr>
                <w:rFonts w:cs="Arial"/>
                <w:sz w:val="22"/>
                <w:szCs w:val="22"/>
              </w:rPr>
            </w:pPr>
            <w:r w:rsidRPr="002A6999">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26" w:history="1">
              <w:r w:rsidRPr="002A6999">
                <w:rPr>
                  <w:rStyle w:val="Hyperlink"/>
                  <w:rFonts w:eastAsia="Arial"/>
                  <w:sz w:val="22"/>
                  <w:szCs w:val="22"/>
                </w:rPr>
                <w:t>Chapter 4</w:t>
              </w:r>
            </w:hyperlink>
            <w:r w:rsidRPr="002A6999">
              <w:rPr>
                <w:rFonts w:cs="Arial"/>
                <w:sz w:val="22"/>
                <w:szCs w:val="22"/>
              </w:rPr>
              <w:t>).</w:t>
            </w:r>
            <w:r w:rsidR="00F9553C">
              <w:rPr>
                <w:rFonts w:cs="Arial"/>
                <w:sz w:val="22"/>
                <w:szCs w:val="22"/>
              </w:rPr>
              <w:t xml:space="preserve"> </w:t>
            </w:r>
          </w:p>
          <w:p w14:paraId="276977BE" w14:textId="30772557" w:rsidR="00D71F5D" w:rsidRPr="00CE7D0E" w:rsidRDefault="002957D1" w:rsidP="002957D1">
            <w:pPr>
              <w:pStyle w:val="Default"/>
              <w:spacing w:after="120"/>
              <w:rPr>
                <w:color w:val="auto"/>
                <w:sz w:val="22"/>
                <w:szCs w:val="22"/>
                <w:lang w:val="en"/>
              </w:rPr>
            </w:pPr>
            <w:r w:rsidRPr="002957D1">
              <w:rPr>
                <w:color w:val="auto"/>
                <w:sz w:val="22"/>
                <w:szCs w:val="22"/>
              </w:rPr>
              <w:t>Typhoid</w:t>
            </w:r>
            <w:r w:rsidR="00417636">
              <w:rPr>
                <w:color w:val="auto"/>
                <w:sz w:val="22"/>
                <w:szCs w:val="22"/>
              </w:rPr>
              <w:t xml:space="preserve"> Vi polysaccharide</w:t>
            </w:r>
            <w:r w:rsidRPr="002957D1">
              <w:rPr>
                <w:color w:val="auto"/>
                <w:sz w:val="22"/>
                <w:szCs w:val="22"/>
              </w:rPr>
              <w:t xml:space="preserve"> vaccine is a clear colourless solution. </w:t>
            </w:r>
            <w:r w:rsidR="00D71F5D" w:rsidRPr="002957D1">
              <w:rPr>
                <w:color w:val="auto"/>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r w:rsidR="00CE7D0E">
              <w:rPr>
                <w:color w:val="auto"/>
                <w:sz w:val="22"/>
                <w:szCs w:val="22"/>
              </w:rPr>
              <w:t>Shake well immediately before administration.</w:t>
            </w:r>
          </w:p>
          <w:p w14:paraId="14237C8F" w14:textId="038116EC" w:rsidR="00D71F5D" w:rsidRPr="00D5205D" w:rsidRDefault="00D71F5D" w:rsidP="00D71F5D">
            <w:pPr>
              <w:shd w:val="clear" w:color="auto" w:fill="FFFFFF"/>
              <w:overflowPunct/>
              <w:autoSpaceDE/>
              <w:autoSpaceDN/>
              <w:adjustRightInd/>
              <w:textAlignment w:val="auto"/>
              <w:rPr>
                <w:rFonts w:cs="Arial"/>
                <w:sz w:val="22"/>
                <w:szCs w:val="22"/>
              </w:rPr>
            </w:pPr>
            <w:r w:rsidRPr="00D5205D">
              <w:rPr>
                <w:rFonts w:cs="Arial"/>
                <w:sz w:val="22"/>
                <w:szCs w:val="22"/>
              </w:rPr>
              <w:t xml:space="preserve">The vaccine’s SPC provides further guidance on administration and </w:t>
            </w:r>
            <w:r w:rsidRPr="00D5205D">
              <w:rPr>
                <w:rFonts w:cs="Arial"/>
                <w:sz w:val="22"/>
                <w:szCs w:val="22"/>
              </w:rPr>
              <w:lastRenderedPageBreak/>
              <w:t>is available from the electronic Medicines Compendium website:</w:t>
            </w:r>
          </w:p>
          <w:p w14:paraId="204237B0" w14:textId="306E26D5" w:rsidR="002F66B0" w:rsidRPr="007762BD" w:rsidRDefault="00D71F5D" w:rsidP="00D71F5D">
            <w:pPr>
              <w:shd w:val="clear" w:color="auto" w:fill="FFFFFF"/>
              <w:overflowPunct/>
              <w:autoSpaceDE/>
              <w:autoSpaceDN/>
              <w:adjustRightInd/>
              <w:spacing w:after="120"/>
              <w:textAlignment w:val="auto"/>
              <w:rPr>
                <w:rFonts w:cs="Arial"/>
                <w:b/>
                <w:color w:val="FF0000"/>
                <w:spacing w:val="-2"/>
                <w:sz w:val="22"/>
                <w:szCs w:val="22"/>
              </w:rPr>
            </w:pPr>
            <w:r w:rsidRPr="002A6999">
              <w:rPr>
                <w:rFonts w:cs="Arial"/>
                <w:color w:val="FF0000"/>
                <w:sz w:val="22"/>
                <w:szCs w:val="22"/>
              </w:rPr>
              <w:t xml:space="preserve"> </w:t>
            </w:r>
            <w:hyperlink r:id="rId27" w:history="1">
              <w:r w:rsidRPr="00D5205D">
                <w:rPr>
                  <w:rStyle w:val="Hyperlink"/>
                  <w:rFonts w:eastAsia="Arial"/>
                  <w:sz w:val="22"/>
                  <w:szCs w:val="22"/>
                </w:rPr>
                <w:t>www.medicines.org.uk</w:t>
              </w:r>
            </w:hyperlink>
            <w:r w:rsidRPr="002A6999">
              <w:rPr>
                <w:color w:val="FF0000"/>
                <w:sz w:val="22"/>
                <w:szCs w:val="22"/>
              </w:rPr>
              <w:t xml:space="preserve">  </w:t>
            </w:r>
            <w:r w:rsidRPr="002A6999">
              <w:rPr>
                <w:rFonts w:cs="Arial"/>
                <w:color w:val="FF0000"/>
                <w:spacing w:val="-2"/>
                <w:sz w:val="22"/>
                <w:szCs w:val="22"/>
              </w:rPr>
              <w:t xml:space="preserve"> </w:t>
            </w:r>
            <w:r w:rsidRPr="002A6999">
              <w:rPr>
                <w:rFonts w:cs="Arial"/>
                <w:b/>
                <w:color w:val="FF0000"/>
                <w:spacing w:val="-2"/>
                <w:sz w:val="22"/>
                <w:szCs w:val="22"/>
              </w:rPr>
              <w:t xml:space="preserve"> </w:t>
            </w:r>
          </w:p>
        </w:tc>
      </w:tr>
      <w:tr w:rsidR="00A956FD" w:rsidRPr="00A956FD" w14:paraId="1C78947D" w14:textId="77777777" w:rsidTr="0087180E">
        <w:tc>
          <w:tcPr>
            <w:tcW w:w="2977" w:type="dxa"/>
          </w:tcPr>
          <w:p w14:paraId="6643934A" w14:textId="654DAAD4" w:rsidR="001F5127" w:rsidRDefault="006D2947" w:rsidP="001F5127">
            <w:pPr>
              <w:pStyle w:val="Header"/>
              <w:tabs>
                <w:tab w:val="clear" w:pos="4153"/>
                <w:tab w:val="clear" w:pos="8306"/>
              </w:tabs>
              <w:spacing w:before="120" w:after="120"/>
              <w:contextualSpacing/>
              <w:rPr>
                <w:rFonts w:ascii="Arial" w:hAnsi="Arial" w:cs="Arial"/>
                <w:b/>
                <w:sz w:val="22"/>
                <w:szCs w:val="22"/>
              </w:rPr>
            </w:pPr>
            <w:bookmarkStart w:id="4" w:name="DoseAndFreq"/>
            <w:bookmarkEnd w:id="4"/>
            <w:r w:rsidRPr="00A202D7">
              <w:rPr>
                <w:rFonts w:ascii="Arial" w:hAnsi="Arial" w:cs="Arial"/>
                <w:b/>
                <w:sz w:val="22"/>
                <w:szCs w:val="22"/>
              </w:rPr>
              <w:lastRenderedPageBreak/>
              <w:t xml:space="preserve">Dose </w:t>
            </w:r>
            <w:r w:rsidR="00EB4085" w:rsidRPr="00A202D7">
              <w:rPr>
                <w:rFonts w:ascii="Arial" w:hAnsi="Arial" w:cs="Arial"/>
                <w:b/>
                <w:sz w:val="22"/>
                <w:szCs w:val="22"/>
              </w:rPr>
              <w:t>and frequency of administration</w:t>
            </w:r>
          </w:p>
          <w:p w14:paraId="081CE321" w14:textId="0FD6867B" w:rsidR="008519B2" w:rsidRPr="008519B2" w:rsidRDefault="008519B2"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57287AD1" w14:textId="65E05A23" w:rsidR="002957D1" w:rsidRDefault="00CE7D0E" w:rsidP="00BC7B68">
            <w:pPr>
              <w:pStyle w:val="Default"/>
              <w:spacing w:before="120" w:after="120"/>
              <w:rPr>
                <w:rFonts w:eastAsiaTheme="minorHAnsi"/>
                <w:sz w:val="22"/>
                <w:szCs w:val="22"/>
                <w:lang w:eastAsia="en-US"/>
              </w:rPr>
            </w:pPr>
            <w:r>
              <w:rPr>
                <w:rFonts w:eastAsiaTheme="minorHAnsi"/>
                <w:sz w:val="22"/>
                <w:szCs w:val="22"/>
                <w:lang w:eastAsia="en-US"/>
              </w:rPr>
              <w:t>A single 0.5ml dose.</w:t>
            </w:r>
          </w:p>
          <w:p w14:paraId="66C309B9" w14:textId="7D0C9262" w:rsidR="00CE7D0E" w:rsidRDefault="00CE7D0E" w:rsidP="00BC7B68">
            <w:pPr>
              <w:pStyle w:val="Default"/>
              <w:spacing w:before="120" w:after="120"/>
              <w:rPr>
                <w:rFonts w:eastAsiaTheme="minorHAnsi"/>
                <w:sz w:val="22"/>
                <w:szCs w:val="22"/>
                <w:lang w:eastAsia="en-US"/>
              </w:rPr>
            </w:pPr>
            <w:r w:rsidRPr="00CE7D0E">
              <w:rPr>
                <w:rFonts w:eastAsiaTheme="minorHAnsi"/>
                <w:sz w:val="22"/>
                <w:szCs w:val="22"/>
                <w:lang w:eastAsia="en-US"/>
              </w:rPr>
              <w:t xml:space="preserve">Vaccination should occur at least 2 weeks prior to potential exposure to infection with </w:t>
            </w:r>
            <w:r w:rsidRPr="00CE7D0E">
              <w:rPr>
                <w:rFonts w:eastAsiaTheme="minorHAnsi"/>
                <w:i/>
                <w:sz w:val="22"/>
                <w:szCs w:val="22"/>
                <w:lang w:eastAsia="en-US"/>
              </w:rPr>
              <w:t>S. typhi</w:t>
            </w:r>
            <w:r>
              <w:rPr>
                <w:rFonts w:eastAsiaTheme="minorHAnsi"/>
                <w:sz w:val="22"/>
                <w:szCs w:val="22"/>
                <w:lang w:eastAsia="en-US"/>
              </w:rPr>
              <w:t>.</w:t>
            </w:r>
            <w:r w:rsidR="00E80B26">
              <w:rPr>
                <w:rFonts w:eastAsiaTheme="minorHAnsi"/>
                <w:sz w:val="22"/>
                <w:szCs w:val="22"/>
                <w:lang w:eastAsia="en-US"/>
              </w:rPr>
              <w:t xml:space="preserve"> Based on individual risk assessment, vaccination may be considered up until departure but protection may be limited.</w:t>
            </w:r>
          </w:p>
          <w:p w14:paraId="06F1B6E7" w14:textId="77777777" w:rsidR="004378C3" w:rsidRDefault="00CE7D0E" w:rsidP="00BA03CD">
            <w:pPr>
              <w:shd w:val="clear" w:color="auto" w:fill="FFFFFF"/>
              <w:overflowPunct/>
              <w:autoSpaceDE/>
              <w:autoSpaceDN/>
              <w:adjustRightInd/>
              <w:spacing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Revaccination: </w:t>
            </w:r>
          </w:p>
          <w:p w14:paraId="19B1A7F3" w14:textId="4D3E53C8" w:rsidR="004378C3" w:rsidRDefault="004378C3" w:rsidP="004378C3">
            <w:pPr>
              <w:pStyle w:val="Default"/>
              <w:spacing w:before="120" w:after="120"/>
              <w:rPr>
                <w:rFonts w:eastAsiaTheme="minorHAnsi"/>
                <w:sz w:val="22"/>
                <w:szCs w:val="22"/>
                <w:lang w:eastAsia="en-US"/>
              </w:rPr>
            </w:pPr>
            <w:r>
              <w:rPr>
                <w:rFonts w:eastAsiaTheme="minorHAnsi"/>
                <w:sz w:val="22"/>
                <w:szCs w:val="22"/>
                <w:lang w:eastAsia="en-US"/>
              </w:rPr>
              <w:t xml:space="preserve">Individuals who </w:t>
            </w:r>
            <w:r w:rsidR="005C23F5">
              <w:rPr>
                <w:rFonts w:eastAsiaTheme="minorHAnsi"/>
                <w:sz w:val="22"/>
                <w:szCs w:val="22"/>
                <w:lang w:eastAsia="en-US"/>
              </w:rPr>
              <w:t xml:space="preserve">plan to travel to an area </w:t>
            </w:r>
            <w:r w:rsidR="0048583E">
              <w:rPr>
                <w:sz w:val="22"/>
                <w:szCs w:val="22"/>
              </w:rPr>
              <w:t xml:space="preserve">where typhoid vaccination is currently recommended for travel by </w:t>
            </w:r>
            <w:hyperlink r:id="rId28" w:history="1">
              <w:r w:rsidR="0048583E" w:rsidRPr="00607562">
                <w:rPr>
                  <w:rStyle w:val="Hyperlink"/>
                  <w:sz w:val="22"/>
                  <w:szCs w:val="22"/>
                </w:rPr>
                <w:t>NaTHNaC</w:t>
              </w:r>
            </w:hyperlink>
            <w:r w:rsidR="0048583E">
              <w:rPr>
                <w:sz w:val="22"/>
                <w:szCs w:val="22"/>
              </w:rPr>
              <w:t xml:space="preserve">, </w:t>
            </w:r>
            <w:r>
              <w:rPr>
                <w:rFonts w:eastAsiaTheme="minorHAnsi"/>
                <w:sz w:val="22"/>
                <w:szCs w:val="22"/>
                <w:lang w:eastAsia="en-US"/>
              </w:rPr>
              <w:t>and who have not received typhoid vaccine in the preceding 3 years should be re-vaccinated</w:t>
            </w:r>
            <w:r w:rsidR="007E774B">
              <w:rPr>
                <w:rFonts w:eastAsiaTheme="minorHAnsi"/>
                <w:sz w:val="22"/>
                <w:szCs w:val="22"/>
                <w:lang w:eastAsia="en-US"/>
              </w:rPr>
              <w:t xml:space="preserve"> against </w:t>
            </w:r>
            <w:r w:rsidR="007E774B" w:rsidRPr="007E774B">
              <w:rPr>
                <w:rFonts w:eastAsiaTheme="minorHAnsi"/>
                <w:i/>
                <w:sz w:val="22"/>
                <w:szCs w:val="22"/>
                <w:lang w:eastAsia="en-US"/>
              </w:rPr>
              <w:t>S. typhi</w:t>
            </w:r>
            <w:r w:rsidR="00417636">
              <w:rPr>
                <w:rFonts w:eastAsiaTheme="minorHAnsi"/>
                <w:sz w:val="22"/>
                <w:szCs w:val="22"/>
                <w:lang w:eastAsia="en-US"/>
              </w:rPr>
              <w:t>.</w:t>
            </w:r>
          </w:p>
          <w:p w14:paraId="5FDFDB19" w14:textId="6AF66FF8" w:rsidR="00BA03CD" w:rsidRDefault="005B5889" w:rsidP="00BA03CD">
            <w:pPr>
              <w:shd w:val="clear" w:color="auto" w:fill="FFFFFF"/>
              <w:overflowPunct/>
              <w:autoSpaceDE/>
              <w:autoSpaceDN/>
              <w:adjustRightInd/>
              <w:spacing w:after="120"/>
              <w:textAlignment w:val="auto"/>
              <w:rPr>
                <w:rFonts w:eastAsiaTheme="minorHAnsi" w:cs="Arial"/>
                <w:color w:val="000000"/>
                <w:sz w:val="22"/>
                <w:szCs w:val="22"/>
                <w:lang w:eastAsia="en-US"/>
              </w:rPr>
            </w:pPr>
            <w:r>
              <w:rPr>
                <w:rFonts w:eastAsiaTheme="minorHAnsi" w:cs="Arial"/>
                <w:color w:val="000000"/>
                <w:sz w:val="22"/>
                <w:szCs w:val="22"/>
                <w:lang w:eastAsia="en-US"/>
              </w:rPr>
              <w:t>Individuals</w:t>
            </w:r>
            <w:r w:rsidR="00CE7D0E" w:rsidRPr="00CE7D0E">
              <w:rPr>
                <w:rFonts w:eastAsiaTheme="minorHAnsi" w:cs="Arial"/>
                <w:color w:val="000000"/>
                <w:sz w:val="22"/>
                <w:szCs w:val="22"/>
                <w:lang w:eastAsia="en-US"/>
              </w:rPr>
              <w:t xml:space="preserve"> who remain at risk of </w:t>
            </w:r>
            <w:r w:rsidR="001675E0">
              <w:rPr>
                <w:rFonts w:eastAsiaTheme="minorHAnsi"/>
                <w:sz w:val="22"/>
                <w:szCs w:val="22"/>
                <w:lang w:eastAsia="en-US"/>
              </w:rPr>
              <w:t xml:space="preserve">exposure to </w:t>
            </w:r>
            <w:r w:rsidR="001675E0" w:rsidRPr="00841FEA">
              <w:rPr>
                <w:rFonts w:eastAsiaTheme="minorHAnsi"/>
                <w:i/>
                <w:sz w:val="22"/>
                <w:szCs w:val="22"/>
                <w:lang w:eastAsia="en-US"/>
              </w:rPr>
              <w:t>S. typhi</w:t>
            </w:r>
            <w:r w:rsidR="001675E0" w:rsidRPr="00CE7D0E">
              <w:rPr>
                <w:rFonts w:eastAsiaTheme="minorHAnsi"/>
                <w:sz w:val="22"/>
                <w:szCs w:val="22"/>
                <w:lang w:eastAsia="en-US"/>
              </w:rPr>
              <w:t xml:space="preserve"> </w:t>
            </w:r>
            <w:r w:rsidR="00CE7D0E" w:rsidRPr="00CE7D0E">
              <w:rPr>
                <w:rFonts w:eastAsiaTheme="minorHAnsi" w:cs="Arial"/>
                <w:color w:val="000000"/>
                <w:sz w:val="22"/>
                <w:szCs w:val="22"/>
                <w:lang w:eastAsia="en-US"/>
              </w:rPr>
              <w:t xml:space="preserve">should be revaccinated </w:t>
            </w:r>
            <w:r w:rsidR="00BA03CD">
              <w:rPr>
                <w:rFonts w:eastAsiaTheme="minorHAnsi" w:cs="Arial"/>
                <w:color w:val="000000"/>
                <w:sz w:val="22"/>
                <w:szCs w:val="22"/>
                <w:lang w:eastAsia="en-US"/>
              </w:rPr>
              <w:t>every three years</w:t>
            </w:r>
            <w:r w:rsidR="00880255">
              <w:rPr>
                <w:rFonts w:eastAsiaTheme="minorHAnsi" w:cs="Arial"/>
                <w:color w:val="000000"/>
                <w:sz w:val="22"/>
                <w:szCs w:val="22"/>
                <w:lang w:eastAsia="en-US"/>
              </w:rPr>
              <w:t xml:space="preserve"> (see </w:t>
            </w:r>
            <w:hyperlink w:anchor="SpecialConsiderations" w:history="1">
              <w:r w:rsidR="00880255" w:rsidRPr="00880255">
                <w:rPr>
                  <w:rStyle w:val="Hyperlink"/>
                  <w:rFonts w:eastAsiaTheme="minorHAnsi" w:cs="Arial"/>
                  <w:sz w:val="22"/>
                  <w:szCs w:val="22"/>
                  <w:lang w:eastAsia="en-US"/>
                </w:rPr>
                <w:t>Special Considerations</w:t>
              </w:r>
            </w:hyperlink>
            <w:r w:rsidR="00880255">
              <w:rPr>
                <w:rFonts w:eastAsiaTheme="minorHAnsi" w:cs="Arial"/>
                <w:color w:val="000000"/>
                <w:sz w:val="22"/>
                <w:szCs w:val="22"/>
                <w:lang w:eastAsia="en-US"/>
              </w:rPr>
              <w:t xml:space="preserve"> section)</w:t>
            </w:r>
            <w:r w:rsidR="00CE7D0E" w:rsidRPr="00CE7D0E">
              <w:rPr>
                <w:rFonts w:eastAsiaTheme="minorHAnsi" w:cs="Arial"/>
                <w:color w:val="000000"/>
                <w:sz w:val="22"/>
                <w:szCs w:val="22"/>
                <w:lang w:eastAsia="en-US"/>
              </w:rPr>
              <w:t>.</w:t>
            </w:r>
            <w:r w:rsidR="004378C3">
              <w:rPr>
                <w:rFonts w:eastAsiaTheme="minorHAnsi" w:cs="Arial"/>
                <w:color w:val="000000"/>
                <w:sz w:val="22"/>
                <w:szCs w:val="22"/>
                <w:lang w:eastAsia="en-US"/>
              </w:rPr>
              <w:t xml:space="preserve"> </w:t>
            </w:r>
          </w:p>
          <w:p w14:paraId="50D1D22B" w14:textId="302C2154" w:rsidR="00BC7B68" w:rsidRPr="005B5889" w:rsidRDefault="004378C3" w:rsidP="008B3D11">
            <w:pPr>
              <w:shd w:val="clear" w:color="auto" w:fill="FFFFFF"/>
              <w:overflowPunct/>
              <w:autoSpaceDE/>
              <w:autoSpaceDN/>
              <w:adjustRightInd/>
              <w:spacing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Note: Typhoid Vi </w:t>
            </w:r>
            <w:r w:rsidR="00417636">
              <w:rPr>
                <w:rFonts w:eastAsiaTheme="minorHAnsi" w:cs="Arial"/>
                <w:color w:val="000000"/>
                <w:sz w:val="22"/>
                <w:szCs w:val="22"/>
                <w:lang w:eastAsia="en-US"/>
              </w:rPr>
              <w:t xml:space="preserve">polysaccharide </w:t>
            </w:r>
            <w:r w:rsidR="00BA03CD">
              <w:rPr>
                <w:rFonts w:eastAsiaTheme="minorHAnsi" w:cs="Arial"/>
                <w:color w:val="000000"/>
                <w:sz w:val="22"/>
                <w:szCs w:val="22"/>
                <w:lang w:eastAsia="en-US"/>
              </w:rPr>
              <w:t>vaccine may be used for revaccination</w:t>
            </w:r>
            <w:r>
              <w:rPr>
                <w:rFonts w:eastAsiaTheme="minorHAnsi" w:cs="Arial"/>
                <w:color w:val="000000"/>
                <w:sz w:val="22"/>
                <w:szCs w:val="22"/>
                <w:lang w:eastAsia="en-US"/>
              </w:rPr>
              <w:t xml:space="preserve"> when individuals</w:t>
            </w:r>
            <w:r w:rsidRPr="00CE7D0E">
              <w:rPr>
                <w:rFonts w:eastAsiaTheme="minorHAnsi" w:cs="Arial"/>
                <w:color w:val="000000"/>
                <w:sz w:val="22"/>
                <w:szCs w:val="22"/>
                <w:lang w:eastAsia="en-US"/>
              </w:rPr>
              <w:t xml:space="preserve"> </w:t>
            </w:r>
            <w:r w:rsidR="00BA03CD">
              <w:rPr>
                <w:rFonts w:eastAsiaTheme="minorHAnsi" w:cs="Arial"/>
                <w:color w:val="000000"/>
                <w:sz w:val="22"/>
                <w:szCs w:val="22"/>
                <w:lang w:eastAsia="en-US"/>
              </w:rPr>
              <w:t xml:space="preserve">have received non-Vi typhoid </w:t>
            </w:r>
            <w:r w:rsidR="00417636">
              <w:rPr>
                <w:rFonts w:eastAsiaTheme="minorHAnsi" w:cs="Arial"/>
                <w:color w:val="000000"/>
                <w:sz w:val="22"/>
                <w:szCs w:val="22"/>
                <w:lang w:eastAsia="en-US"/>
              </w:rPr>
              <w:t xml:space="preserve">vaccine </w:t>
            </w:r>
            <w:r w:rsidR="008B3D11">
              <w:rPr>
                <w:rFonts w:eastAsiaTheme="minorHAnsi" w:cs="Arial"/>
                <w:color w:val="000000"/>
                <w:sz w:val="22"/>
                <w:szCs w:val="22"/>
                <w:lang w:eastAsia="en-US"/>
              </w:rPr>
              <w:t>for the preceding dose</w:t>
            </w:r>
            <w:r w:rsidR="00BA03CD">
              <w:rPr>
                <w:rFonts w:eastAsiaTheme="minorHAnsi" w:cs="Arial"/>
                <w:color w:val="000000"/>
                <w:sz w:val="22"/>
                <w:szCs w:val="22"/>
                <w:lang w:eastAsia="en-US"/>
              </w:rPr>
              <w:t>.</w:t>
            </w:r>
          </w:p>
        </w:tc>
      </w:tr>
      <w:tr w:rsidR="00A956FD" w:rsidRPr="00A956FD" w14:paraId="067DDE51" w14:textId="77777777" w:rsidTr="0087180E">
        <w:tc>
          <w:tcPr>
            <w:tcW w:w="2977" w:type="dxa"/>
            <w:tcBorders>
              <w:bottom w:val="single" w:sz="4" w:space="0" w:color="auto"/>
            </w:tcBorders>
          </w:tcPr>
          <w:p w14:paraId="58E54338" w14:textId="36B9EB5E"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46FC31E4" w14:textId="77777777" w:rsidR="00AC3828" w:rsidRDefault="005B5889" w:rsidP="00597157">
            <w:pPr>
              <w:spacing w:before="120" w:after="120"/>
              <w:rPr>
                <w:sz w:val="22"/>
                <w:szCs w:val="22"/>
              </w:rPr>
            </w:pPr>
            <w:r>
              <w:rPr>
                <w:sz w:val="22"/>
                <w:szCs w:val="22"/>
              </w:rPr>
              <w:t>Single dose.</w:t>
            </w:r>
          </w:p>
          <w:p w14:paraId="26AE4445" w14:textId="485742C8" w:rsidR="005B5889" w:rsidRPr="007762BD" w:rsidRDefault="005B5889" w:rsidP="00597157">
            <w:pPr>
              <w:spacing w:before="120" w:after="120"/>
              <w:rPr>
                <w:color w:val="FF0000"/>
                <w:sz w:val="22"/>
                <w:szCs w:val="22"/>
              </w:rPr>
            </w:pPr>
            <w:r>
              <w:rPr>
                <w:sz w:val="22"/>
                <w:szCs w:val="22"/>
              </w:rPr>
              <w:t xml:space="preserve">Revaccination may be indicated for individuals who remain at risk of typhoid fever (see </w:t>
            </w:r>
            <w:hyperlink w:anchor="DoseAndFreq" w:history="1">
              <w:r w:rsidRPr="005B5889">
                <w:rPr>
                  <w:rStyle w:val="Hyperlink"/>
                  <w:sz w:val="22"/>
                  <w:szCs w:val="22"/>
                </w:rPr>
                <w:t>Dose and frequency of administration</w:t>
              </w:r>
            </w:hyperlink>
            <w:r>
              <w:rPr>
                <w:sz w:val="22"/>
                <w:szCs w:val="22"/>
              </w:rPr>
              <w:t>).</w:t>
            </w:r>
          </w:p>
        </w:tc>
      </w:tr>
      <w:tr w:rsidR="00A956FD" w:rsidRPr="00A956FD" w14:paraId="3A74624A" w14:textId="77777777" w:rsidTr="0087180E">
        <w:tc>
          <w:tcPr>
            <w:tcW w:w="2977" w:type="dxa"/>
            <w:tcBorders>
              <w:bottom w:val="single" w:sz="4" w:space="0" w:color="auto"/>
            </w:tcBorders>
          </w:tcPr>
          <w:p w14:paraId="25C67556" w14:textId="5412DDE1" w:rsidR="006D2947" w:rsidRPr="0000216F" w:rsidRDefault="00EB4085"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99028A7" w14:textId="2BC12C50" w:rsidR="006D2947" w:rsidRPr="007762BD" w:rsidRDefault="005B5889" w:rsidP="005B5889">
            <w:pPr>
              <w:spacing w:before="120" w:after="120"/>
              <w:rPr>
                <w:color w:val="FF0000"/>
                <w:sz w:val="22"/>
                <w:szCs w:val="22"/>
              </w:rPr>
            </w:pPr>
            <w:r>
              <w:rPr>
                <w:sz w:val="22"/>
                <w:szCs w:val="22"/>
              </w:rPr>
              <w:t>Single 0.5ml dose.</w:t>
            </w:r>
          </w:p>
        </w:tc>
      </w:tr>
      <w:tr w:rsidR="00A956FD" w:rsidRPr="00A956FD" w14:paraId="0A841B48" w14:textId="77777777" w:rsidTr="0087180E">
        <w:tc>
          <w:tcPr>
            <w:tcW w:w="2977" w:type="dxa"/>
            <w:tcBorders>
              <w:bottom w:val="single" w:sz="4" w:space="0" w:color="auto"/>
            </w:tcBorders>
          </w:tcPr>
          <w:p w14:paraId="6E8C4004" w14:textId="0412596D" w:rsidR="002436D7" w:rsidRPr="0000216F" w:rsidRDefault="008D7620" w:rsidP="002436D7">
            <w:pPr>
              <w:spacing w:before="120" w:after="120"/>
              <w:rPr>
                <w:rFonts w:cs="Arial"/>
                <w:sz w:val="22"/>
                <w:szCs w:val="22"/>
              </w:rPr>
            </w:pPr>
            <w:r w:rsidRPr="0000216F">
              <w:br w:type="page"/>
            </w:r>
            <w:r w:rsidR="00B76A14" w:rsidRPr="0000216F">
              <w:rPr>
                <w:rFonts w:cs="Arial"/>
                <w:b/>
                <w:sz w:val="22"/>
                <w:szCs w:val="22"/>
              </w:rPr>
              <w:t>Supplies</w:t>
            </w:r>
          </w:p>
        </w:tc>
        <w:tc>
          <w:tcPr>
            <w:tcW w:w="6946" w:type="dxa"/>
            <w:tcBorders>
              <w:bottom w:val="single" w:sz="4" w:space="0" w:color="auto"/>
            </w:tcBorders>
          </w:tcPr>
          <w:p w14:paraId="004645BB" w14:textId="09ED3917" w:rsidR="00314050" w:rsidRPr="00314050" w:rsidRDefault="005B5889" w:rsidP="00335664">
            <w:pPr>
              <w:spacing w:before="120" w:after="120"/>
              <w:rPr>
                <w:rFonts w:cs="Arial"/>
                <w:sz w:val="22"/>
                <w:szCs w:val="22"/>
              </w:rPr>
            </w:pPr>
            <w:r>
              <w:rPr>
                <w:rFonts w:cs="Arial"/>
                <w:sz w:val="22"/>
                <w:szCs w:val="22"/>
              </w:rPr>
              <w:t>Typhoid vaccine is not</w:t>
            </w:r>
            <w:r w:rsidR="00314050" w:rsidRPr="00314050">
              <w:rPr>
                <w:rFonts w:cs="Arial"/>
                <w:sz w:val="22"/>
                <w:szCs w:val="22"/>
              </w:rPr>
              <w:t xml:space="preserve"> centrally supplied and should be obtained directly from manufacturers/wholesalers. </w:t>
            </w:r>
          </w:p>
          <w:p w14:paraId="1580D550" w14:textId="652642BD" w:rsidR="00B76A14" w:rsidRPr="007762BD" w:rsidRDefault="00FD23B9" w:rsidP="00335664">
            <w:pPr>
              <w:spacing w:before="120" w:after="120"/>
              <w:rPr>
                <w:rFonts w:cs="TimesNewRomanPS"/>
                <w:color w:val="FF0000"/>
                <w:sz w:val="22"/>
                <w:szCs w:val="22"/>
              </w:rPr>
            </w:pPr>
            <w:r w:rsidRPr="00B74695">
              <w:rPr>
                <w:rFonts w:cs="Arial"/>
                <w:sz w:val="22"/>
                <w:szCs w:val="22"/>
              </w:rPr>
              <w:t xml:space="preserve">Protocols for the ordering, storage and handling of vaccines should be followed to prevent vaccine wastage (see </w:t>
            </w:r>
            <w:hyperlink r:id="rId29" w:history="1">
              <w:r w:rsidRPr="00B74695">
                <w:rPr>
                  <w:rStyle w:val="Hyperlink"/>
                  <w:rFonts w:cs="Arial"/>
                  <w:sz w:val="22"/>
                  <w:szCs w:val="22"/>
                </w:rPr>
                <w:t>protocol for ordering storage and handling of vaccines</w:t>
              </w:r>
            </w:hyperlink>
            <w:r w:rsidRPr="00B74695">
              <w:rPr>
                <w:rStyle w:val="Hyperlink"/>
                <w:rFonts w:cs="Arial"/>
                <w:color w:val="auto"/>
                <w:sz w:val="22"/>
                <w:szCs w:val="22"/>
                <w:u w:val="none"/>
              </w:rPr>
              <w:t xml:space="preserve"> and Green Book </w:t>
            </w:r>
            <w:hyperlink r:id="rId30" w:history="1">
              <w:r w:rsidRPr="00B74695">
                <w:rPr>
                  <w:rStyle w:val="Hyperlink"/>
                  <w:rFonts w:cs="Arial"/>
                  <w:sz w:val="22"/>
                  <w:szCs w:val="22"/>
                </w:rPr>
                <w:t>Chapter 3</w:t>
              </w:r>
            </w:hyperlink>
            <w:r w:rsidRPr="00B74695">
              <w:rPr>
                <w:rFonts w:cs="Arial"/>
                <w:sz w:val="22"/>
                <w:szCs w:val="22"/>
              </w:rPr>
              <w:t>).</w:t>
            </w:r>
          </w:p>
        </w:tc>
      </w:tr>
      <w:tr w:rsidR="00A956FD" w:rsidRPr="00A956FD" w14:paraId="503B8399" w14:textId="77777777" w:rsidTr="0087180E">
        <w:tc>
          <w:tcPr>
            <w:tcW w:w="2977" w:type="dxa"/>
            <w:tcBorders>
              <w:bottom w:val="single" w:sz="4" w:space="0" w:color="auto"/>
            </w:tcBorders>
          </w:tcPr>
          <w:p w14:paraId="6EB0935A" w14:textId="03E24C77" w:rsidR="00EB4085" w:rsidRDefault="00EB4085" w:rsidP="006F4906">
            <w:pPr>
              <w:spacing w:before="120" w:after="120"/>
              <w:rPr>
                <w:rFonts w:cs="Arial"/>
                <w:b/>
                <w:sz w:val="22"/>
                <w:szCs w:val="22"/>
              </w:rPr>
            </w:pPr>
            <w:bookmarkStart w:id="5" w:name="Storage"/>
            <w:bookmarkEnd w:id="5"/>
            <w:r w:rsidRPr="00260762">
              <w:rPr>
                <w:rFonts w:cs="Arial"/>
                <w:b/>
                <w:sz w:val="22"/>
                <w:szCs w:val="22"/>
              </w:rPr>
              <w:t>Storage</w:t>
            </w:r>
          </w:p>
          <w:p w14:paraId="0711C39C" w14:textId="77777777" w:rsidR="008519B2" w:rsidRDefault="008519B2" w:rsidP="006F4906">
            <w:pPr>
              <w:spacing w:before="120" w:after="120"/>
              <w:rPr>
                <w:rFonts w:cs="Arial"/>
                <w:b/>
                <w:sz w:val="22"/>
                <w:szCs w:val="22"/>
              </w:rPr>
            </w:pPr>
          </w:p>
          <w:p w14:paraId="4F89E381" w14:textId="77777777" w:rsidR="008519B2" w:rsidRDefault="008519B2" w:rsidP="006F4906">
            <w:pPr>
              <w:spacing w:before="120" w:after="120"/>
              <w:rPr>
                <w:rFonts w:cs="Arial"/>
                <w:b/>
                <w:sz w:val="22"/>
                <w:szCs w:val="22"/>
              </w:rPr>
            </w:pPr>
          </w:p>
          <w:p w14:paraId="77E9AFAA" w14:textId="77777777" w:rsidR="008519B2" w:rsidRDefault="008519B2" w:rsidP="006F4906">
            <w:pPr>
              <w:spacing w:before="120" w:after="120"/>
              <w:rPr>
                <w:rFonts w:cs="Arial"/>
                <w:b/>
                <w:sz w:val="22"/>
                <w:szCs w:val="22"/>
              </w:rPr>
            </w:pPr>
          </w:p>
          <w:p w14:paraId="5B050ADC" w14:textId="77777777" w:rsidR="008519B2" w:rsidRDefault="008519B2" w:rsidP="006F4906">
            <w:pPr>
              <w:spacing w:before="120" w:after="120"/>
              <w:rPr>
                <w:rFonts w:cs="Arial"/>
                <w:b/>
                <w:sz w:val="22"/>
                <w:szCs w:val="22"/>
              </w:rPr>
            </w:pPr>
          </w:p>
          <w:p w14:paraId="09175BFF" w14:textId="40989908" w:rsidR="008519B2" w:rsidRPr="008519B2" w:rsidRDefault="008519B2" w:rsidP="006F4906">
            <w:pPr>
              <w:spacing w:before="120" w:after="120"/>
              <w:contextualSpacing/>
              <w:rPr>
                <w:rFonts w:cs="Arial"/>
                <w:sz w:val="22"/>
                <w:szCs w:val="22"/>
              </w:rPr>
            </w:pPr>
          </w:p>
        </w:tc>
        <w:tc>
          <w:tcPr>
            <w:tcW w:w="6946" w:type="dxa"/>
            <w:tcBorders>
              <w:bottom w:val="single" w:sz="4" w:space="0" w:color="auto"/>
            </w:tcBorders>
          </w:tcPr>
          <w:p w14:paraId="026454CF" w14:textId="253B49E3" w:rsidR="00335664" w:rsidRPr="00D82521" w:rsidRDefault="00344161" w:rsidP="00335664">
            <w:pPr>
              <w:pStyle w:val="Header"/>
              <w:tabs>
                <w:tab w:val="clear" w:pos="4153"/>
                <w:tab w:val="clear" w:pos="8306"/>
              </w:tabs>
              <w:spacing w:before="120"/>
              <w:rPr>
                <w:rFonts w:ascii="Arial" w:hAnsi="Arial" w:cs="Arial"/>
                <w:sz w:val="22"/>
                <w:szCs w:val="22"/>
              </w:rPr>
            </w:pPr>
            <w:r>
              <w:rPr>
                <w:rFonts w:ascii="Arial" w:hAnsi="Arial" w:cs="Arial"/>
                <w:sz w:val="22"/>
                <w:szCs w:val="22"/>
              </w:rPr>
              <w:t xml:space="preserve">Store </w:t>
            </w:r>
            <w:r w:rsidR="00335664" w:rsidRPr="00D82521">
              <w:rPr>
                <w:rFonts w:ascii="Arial" w:hAnsi="Arial" w:cs="Arial"/>
                <w:sz w:val="22"/>
                <w:szCs w:val="22"/>
              </w:rPr>
              <w:t xml:space="preserve">between </w:t>
            </w:r>
            <w:r w:rsidR="00335664" w:rsidRPr="00D82521">
              <w:rPr>
                <w:rFonts w:ascii="Arial" w:hAnsi="Arial" w:cs="Arial"/>
                <w:spacing w:val="-2"/>
                <w:sz w:val="22"/>
                <w:szCs w:val="22"/>
              </w:rPr>
              <w:t>+2°</w:t>
            </w:r>
            <w:r w:rsidR="00335664" w:rsidRPr="00D82521">
              <w:rPr>
                <w:rFonts w:ascii="Arial" w:hAnsi="Arial" w:cs="Arial"/>
                <w:sz w:val="22"/>
                <w:szCs w:val="22"/>
              </w:rPr>
              <w:t xml:space="preserve">C </w:t>
            </w:r>
            <w:r w:rsidR="00335664" w:rsidRPr="00D82521">
              <w:rPr>
                <w:rFonts w:ascii="Arial" w:hAnsi="Arial" w:cs="Arial"/>
                <w:spacing w:val="-2"/>
                <w:sz w:val="22"/>
                <w:szCs w:val="22"/>
              </w:rPr>
              <w:t>t</w:t>
            </w:r>
            <w:r w:rsidR="00335664" w:rsidRPr="00D82521">
              <w:rPr>
                <w:rFonts w:ascii="Arial" w:hAnsi="Arial" w:cs="Arial"/>
                <w:sz w:val="22"/>
                <w:szCs w:val="22"/>
              </w:rPr>
              <w:t xml:space="preserve">o </w:t>
            </w:r>
            <w:r w:rsidR="00335664" w:rsidRPr="00D82521">
              <w:rPr>
                <w:rFonts w:ascii="Arial" w:hAnsi="Arial" w:cs="Arial"/>
                <w:spacing w:val="-2"/>
                <w:sz w:val="22"/>
                <w:szCs w:val="22"/>
              </w:rPr>
              <w:t>+8°</w:t>
            </w:r>
            <w:r w:rsidR="00335664" w:rsidRPr="00D82521">
              <w:rPr>
                <w:rFonts w:ascii="Arial" w:hAnsi="Arial" w:cs="Arial"/>
                <w:sz w:val="22"/>
                <w:szCs w:val="22"/>
              </w:rPr>
              <w:t xml:space="preserve">C. </w:t>
            </w:r>
          </w:p>
          <w:p w14:paraId="5E162BAA" w14:textId="77777777" w:rsidR="00335664" w:rsidRPr="00D82521" w:rsidRDefault="00335664" w:rsidP="00335664">
            <w:pPr>
              <w:pStyle w:val="Header"/>
              <w:tabs>
                <w:tab w:val="clear" w:pos="4153"/>
                <w:tab w:val="clear" w:pos="8306"/>
              </w:tabs>
              <w:rPr>
                <w:rFonts w:ascii="Arial" w:hAnsi="Arial" w:cs="Arial"/>
                <w:sz w:val="22"/>
                <w:szCs w:val="22"/>
              </w:rPr>
            </w:pPr>
            <w:r w:rsidRPr="00D82521">
              <w:rPr>
                <w:rFonts w:ascii="Arial" w:hAnsi="Arial" w:cs="Arial"/>
                <w:sz w:val="22"/>
                <w:szCs w:val="22"/>
              </w:rPr>
              <w:t xml:space="preserve">Store in original packaging in order to protect from light. </w:t>
            </w:r>
          </w:p>
          <w:p w14:paraId="6302A5A4" w14:textId="77777777" w:rsidR="00922068" w:rsidRPr="00D82521" w:rsidRDefault="00335664" w:rsidP="00335664">
            <w:pPr>
              <w:pStyle w:val="Header"/>
              <w:tabs>
                <w:tab w:val="clear" w:pos="4153"/>
                <w:tab w:val="clear" w:pos="8306"/>
              </w:tabs>
              <w:spacing w:after="120"/>
              <w:rPr>
                <w:rFonts w:ascii="Arial" w:hAnsi="Arial" w:cs="Arial"/>
                <w:sz w:val="22"/>
                <w:szCs w:val="22"/>
              </w:rPr>
            </w:pPr>
            <w:r w:rsidRPr="00D82521">
              <w:rPr>
                <w:rFonts w:ascii="Arial" w:hAnsi="Arial" w:cs="Arial"/>
                <w:sz w:val="22"/>
                <w:szCs w:val="22"/>
              </w:rPr>
              <w:t>Do not freeze.</w:t>
            </w:r>
          </w:p>
          <w:p w14:paraId="1D228455" w14:textId="0F02BA5C" w:rsidR="00620B24" w:rsidRPr="00D82521" w:rsidRDefault="00F54A84" w:rsidP="00F54A84">
            <w:pPr>
              <w:spacing w:after="120"/>
              <w:rPr>
                <w:sz w:val="22"/>
                <w:szCs w:val="22"/>
              </w:rPr>
            </w:pPr>
            <w:r w:rsidRPr="00D82521">
              <w:rPr>
                <w:iCs/>
                <w:sz w:val="22"/>
                <w:szCs w:val="22"/>
              </w:rPr>
              <w:t>In the event of an inadvertent or unavoidable deviation of these conditions</w:t>
            </w:r>
            <w:r w:rsidR="00344161">
              <w:rPr>
                <w:iCs/>
                <w:sz w:val="22"/>
                <w:szCs w:val="22"/>
              </w:rPr>
              <w:t>,</w:t>
            </w:r>
            <w:r w:rsidRPr="00D82521">
              <w:rPr>
                <w:iCs/>
                <w:sz w:val="22"/>
                <w:szCs w:val="22"/>
              </w:rPr>
              <w:t xml:space="preserve"> vaccine that has been stored outside the conditions stated above should be quarantined and risk assessed for suitability of continued off-la</w:t>
            </w:r>
            <w:r w:rsidR="00344161">
              <w:rPr>
                <w:iCs/>
                <w:sz w:val="22"/>
                <w:szCs w:val="22"/>
              </w:rPr>
              <w:t>bel use or appropriate disposal. R</w:t>
            </w:r>
            <w:r w:rsidRPr="00D82521">
              <w:rPr>
                <w:iCs/>
                <w:sz w:val="22"/>
                <w:szCs w:val="22"/>
              </w:rPr>
              <w:t xml:space="preserve">efer to </w:t>
            </w:r>
            <w:hyperlink r:id="rId31" w:history="1">
              <w:r w:rsidRPr="00D82521">
                <w:rPr>
                  <w:rStyle w:val="Hyperlink"/>
                  <w:iCs/>
                  <w:sz w:val="22"/>
                  <w:szCs w:val="22"/>
                </w:rPr>
                <w:t>PHE Vaccine Incident Guidance</w:t>
              </w:r>
            </w:hyperlink>
            <w:r w:rsidRPr="00D82521">
              <w:rPr>
                <w:iCs/>
                <w:sz w:val="22"/>
                <w:szCs w:val="22"/>
              </w:rPr>
              <w:t>.</w:t>
            </w:r>
          </w:p>
        </w:tc>
      </w:tr>
      <w:tr w:rsidR="00A956FD" w:rsidRPr="00A956FD" w14:paraId="280CEDEF" w14:textId="77777777" w:rsidTr="0087180E">
        <w:tc>
          <w:tcPr>
            <w:tcW w:w="2977" w:type="dxa"/>
            <w:tcBorders>
              <w:bottom w:val="single" w:sz="4" w:space="0" w:color="auto"/>
            </w:tcBorders>
          </w:tcPr>
          <w:p w14:paraId="479953D7" w14:textId="77777777" w:rsidR="00EB4085" w:rsidRDefault="00D7770B" w:rsidP="007E045E">
            <w:pPr>
              <w:spacing w:before="120" w:after="120"/>
              <w:rPr>
                <w:rFonts w:cs="Arial"/>
                <w:b/>
                <w:sz w:val="22"/>
                <w:szCs w:val="22"/>
              </w:rPr>
            </w:pPr>
            <w:r w:rsidRPr="0000216F">
              <w:br w:type="page"/>
            </w:r>
            <w:r w:rsidR="00EB4085" w:rsidRPr="0000216F">
              <w:rPr>
                <w:rFonts w:cs="Arial"/>
                <w:b/>
                <w:sz w:val="22"/>
                <w:szCs w:val="22"/>
              </w:rPr>
              <w:t>Disposal</w:t>
            </w:r>
          </w:p>
          <w:p w14:paraId="163472CE" w14:textId="2ABE6134" w:rsidR="00C16B9B" w:rsidRPr="00C16B9B" w:rsidRDefault="00C16B9B" w:rsidP="00C16B9B">
            <w:pPr>
              <w:spacing w:before="120" w:after="120"/>
              <w:contextualSpacing/>
              <w:rPr>
                <w:rFonts w:cs="Arial"/>
                <w:sz w:val="22"/>
                <w:szCs w:val="22"/>
              </w:rPr>
            </w:pPr>
          </w:p>
        </w:tc>
        <w:tc>
          <w:tcPr>
            <w:tcW w:w="6946" w:type="dxa"/>
            <w:tcBorders>
              <w:bottom w:val="single" w:sz="4" w:space="0" w:color="auto"/>
            </w:tcBorders>
          </w:tcPr>
          <w:p w14:paraId="752503BA" w14:textId="5821202C" w:rsidR="00EB4085" w:rsidRPr="007762BD" w:rsidRDefault="002E50C7" w:rsidP="009A2DE4">
            <w:pPr>
              <w:spacing w:before="120" w:after="60"/>
              <w:rPr>
                <w:rFonts w:cs="Arial"/>
                <w:color w:val="FF0000"/>
                <w:sz w:val="22"/>
                <w:szCs w:val="22"/>
              </w:rPr>
            </w:pPr>
            <w:r w:rsidRPr="00E85B34">
              <w:rPr>
                <w:rFonts w:cs="Arial"/>
                <w:sz w:val="22"/>
                <w:szCs w:val="22"/>
              </w:rPr>
              <w:t>Equipment used for immunisation, including used vials, ampoules, or discharged vaccines in a syringe or applicator, should be disposed of at the end of a</w:t>
            </w:r>
            <w:r>
              <w:rPr>
                <w:rFonts w:cs="Arial"/>
                <w:sz w:val="22"/>
                <w:szCs w:val="22"/>
              </w:rPr>
              <w:t xml:space="preserve"> session by sealing in a</w:t>
            </w:r>
            <w:r w:rsidRPr="00E85B34">
              <w:rPr>
                <w:rFonts w:cs="Arial"/>
                <w:sz w:val="22"/>
                <w:szCs w:val="22"/>
              </w:rPr>
              <w:t xml:space="preserve"> </w:t>
            </w:r>
            <w:r w:rsidR="00F76876">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32"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422B83ED" w14:textId="77777777" w:rsidR="00364359" w:rsidRDefault="00364359" w:rsidP="00364359">
      <w:pPr>
        <w:jc w:val="center"/>
      </w:pPr>
    </w:p>
    <w:p w14:paraId="1A710486" w14:textId="77777777" w:rsidR="00364359" w:rsidRDefault="00364359" w:rsidP="00364359">
      <w:pPr>
        <w:jc w:val="center"/>
      </w:pPr>
    </w:p>
    <w:p w14:paraId="297F33CB" w14:textId="784BBD9F" w:rsidR="00364359" w:rsidRDefault="00364359" w:rsidP="00364359">
      <w:pPr>
        <w:jc w:val="center"/>
      </w:pPr>
      <w:r>
        <w:t xml:space="preserve">Continued over page </w:t>
      </w: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4B1C7B02" w14:textId="77777777" w:rsidTr="0087180E">
        <w:tc>
          <w:tcPr>
            <w:tcW w:w="2977" w:type="dxa"/>
            <w:tcBorders>
              <w:bottom w:val="single" w:sz="4" w:space="0" w:color="auto"/>
            </w:tcBorders>
          </w:tcPr>
          <w:p w14:paraId="1310AAF1" w14:textId="6D532354" w:rsidR="001F5127" w:rsidRPr="007E324D" w:rsidRDefault="00EB4085" w:rsidP="00211803">
            <w:pPr>
              <w:spacing w:before="120" w:after="120"/>
              <w:rPr>
                <w:rFonts w:ascii="Times New Roman" w:hAnsi="Times New Roman" w:cs="Arial"/>
                <w:b/>
                <w:sz w:val="22"/>
                <w:szCs w:val="22"/>
                <w:vertAlign w:val="superscript"/>
              </w:rPr>
            </w:pPr>
            <w:r w:rsidRPr="007E324D">
              <w:rPr>
                <w:rFonts w:cs="Arial"/>
                <w:b/>
                <w:sz w:val="22"/>
                <w:szCs w:val="22"/>
              </w:rPr>
              <w:lastRenderedPageBreak/>
              <w:t xml:space="preserve">Drug </w:t>
            </w:r>
            <w:r w:rsidR="00080471" w:rsidRPr="007E324D">
              <w:rPr>
                <w:rFonts w:cs="Arial"/>
                <w:b/>
                <w:sz w:val="22"/>
                <w:szCs w:val="22"/>
              </w:rPr>
              <w:t>i</w:t>
            </w:r>
            <w:r w:rsidRPr="007E324D">
              <w:rPr>
                <w:rFonts w:cs="Arial"/>
                <w:b/>
                <w:sz w:val="22"/>
                <w:szCs w:val="22"/>
              </w:rPr>
              <w:t>nteractions</w:t>
            </w:r>
          </w:p>
        </w:tc>
        <w:tc>
          <w:tcPr>
            <w:tcW w:w="6946" w:type="dxa"/>
            <w:tcBorders>
              <w:bottom w:val="single" w:sz="4" w:space="0" w:color="auto"/>
            </w:tcBorders>
          </w:tcPr>
          <w:p w14:paraId="2C4F26D1" w14:textId="75EFFBD4" w:rsidR="00335664" w:rsidRPr="00200ECD" w:rsidRDefault="00335664" w:rsidP="00335664">
            <w:pPr>
              <w:shd w:val="clear" w:color="auto" w:fill="FFFFFF"/>
              <w:overflowPunct/>
              <w:autoSpaceDE/>
              <w:autoSpaceDN/>
              <w:adjustRightInd/>
              <w:spacing w:before="120" w:after="120"/>
              <w:textAlignment w:val="auto"/>
              <w:rPr>
                <w:rFonts w:cs="Arial"/>
                <w:color w:val="FF0000"/>
                <w:sz w:val="22"/>
                <w:szCs w:val="22"/>
                <w:lang w:val="en"/>
              </w:rPr>
            </w:pPr>
            <w:r w:rsidRPr="00C86FCF">
              <w:rPr>
                <w:rFonts w:cs="Arial"/>
                <w:sz w:val="22"/>
                <w:szCs w:val="22"/>
                <w:lang w:val="en"/>
              </w:rPr>
              <w:t>Immunological response may be diminished in those receiving immunosuppressive treatment.</w:t>
            </w:r>
            <w:r w:rsidR="00C86FCF" w:rsidRPr="00C86FCF">
              <w:rPr>
                <w:sz w:val="21"/>
                <w:szCs w:val="21"/>
              </w:rPr>
              <w:t xml:space="preserve"> </w:t>
            </w:r>
            <w:r w:rsidR="00C86FCF" w:rsidRPr="00C86FCF">
              <w:rPr>
                <w:sz w:val="22"/>
                <w:szCs w:val="22"/>
              </w:rPr>
              <w:t>Vaccination is recommended even if the antibody response may be limited</w:t>
            </w:r>
            <w:r w:rsidR="001675E0">
              <w:rPr>
                <w:sz w:val="22"/>
                <w:szCs w:val="22"/>
              </w:rPr>
              <w:t>.</w:t>
            </w:r>
            <w:r w:rsidR="00C86FCF" w:rsidRPr="00C86FCF">
              <w:rPr>
                <w:sz w:val="22"/>
                <w:szCs w:val="22"/>
              </w:rPr>
              <w:t xml:space="preserve"> </w:t>
            </w:r>
          </w:p>
          <w:p w14:paraId="7390FC4F" w14:textId="77777777" w:rsidR="00335664" w:rsidRPr="00C86FCF" w:rsidRDefault="00335664" w:rsidP="00335664">
            <w:pPr>
              <w:overflowPunct/>
              <w:spacing w:before="120" w:after="120"/>
              <w:textAlignment w:val="auto"/>
              <w:rPr>
                <w:sz w:val="22"/>
                <w:szCs w:val="22"/>
              </w:rPr>
            </w:pPr>
            <w:r w:rsidRPr="00C86FCF">
              <w:rPr>
                <w:sz w:val="22"/>
                <w:szCs w:val="22"/>
              </w:rPr>
              <w:t>May be given at the same time as other vaccines.</w:t>
            </w:r>
          </w:p>
          <w:p w14:paraId="55842F6E" w14:textId="1D353C7D" w:rsidR="00B46000" w:rsidRPr="00EE43D4" w:rsidRDefault="00EE43D4" w:rsidP="00F54A84">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A detailed list of drug interactions is available in the</w:t>
            </w:r>
            <w:r w:rsidR="00A905F6">
              <w:rPr>
                <w:rFonts w:eastAsiaTheme="minorHAnsi" w:cs="Arial"/>
                <w:color w:val="000000"/>
                <w:sz w:val="22"/>
                <w:szCs w:val="22"/>
                <w:lang w:eastAsia="en-US"/>
              </w:rPr>
              <w:t xml:space="preserve"> </w:t>
            </w:r>
            <w:r w:rsidR="002D2577">
              <w:rPr>
                <w:rFonts w:eastAsiaTheme="minorHAnsi" w:cs="Arial"/>
                <w:color w:val="000000"/>
                <w:sz w:val="22"/>
                <w:szCs w:val="22"/>
                <w:lang w:eastAsia="en-US"/>
              </w:rPr>
              <w:t>SPC</w:t>
            </w:r>
            <w:r>
              <w:rPr>
                <w:rFonts w:eastAsiaTheme="minorHAnsi" w:cs="Arial"/>
                <w:color w:val="000000"/>
                <w:sz w:val="22"/>
                <w:szCs w:val="22"/>
                <w:lang w:eastAsia="en-US"/>
              </w:rPr>
              <w:t xml:space="preserve">, which is available from the electronic Medicines Compendium website: </w:t>
            </w:r>
            <w:hyperlink r:id="rId33" w:history="1">
              <w:r w:rsidR="001F63AD" w:rsidRPr="00C549D5">
                <w:rPr>
                  <w:rStyle w:val="Hyperlink"/>
                  <w:rFonts w:eastAsiaTheme="minorHAnsi" w:cs="Arial"/>
                  <w:sz w:val="22"/>
                  <w:szCs w:val="22"/>
                  <w:lang w:eastAsia="en-US"/>
                </w:rPr>
                <w:t>www.medicines.org.uk</w:t>
              </w:r>
            </w:hyperlink>
            <w:r w:rsidR="001F63AD">
              <w:rPr>
                <w:rFonts w:eastAsiaTheme="minorHAnsi" w:cs="Arial"/>
                <w:color w:val="0000FF"/>
                <w:sz w:val="22"/>
                <w:szCs w:val="22"/>
                <w:lang w:eastAsia="en-US"/>
              </w:rPr>
              <w:t xml:space="preserve"> </w:t>
            </w:r>
          </w:p>
        </w:tc>
      </w:tr>
      <w:tr w:rsidR="00A956FD" w:rsidRPr="00A956FD" w14:paraId="5264052B" w14:textId="77777777" w:rsidTr="0087180E">
        <w:tc>
          <w:tcPr>
            <w:tcW w:w="2977" w:type="dxa"/>
            <w:tcBorders>
              <w:bottom w:val="single" w:sz="4" w:space="0" w:color="auto"/>
            </w:tcBorders>
          </w:tcPr>
          <w:p w14:paraId="1EA7DE2F" w14:textId="18954AF3" w:rsidR="00EB4085" w:rsidRPr="00A956FD" w:rsidRDefault="00EB4085" w:rsidP="00211803">
            <w:pPr>
              <w:spacing w:before="120" w:after="120"/>
              <w:rPr>
                <w:rFonts w:cs="Arial"/>
                <w:b/>
                <w:color w:val="FF0000"/>
                <w:sz w:val="22"/>
                <w:szCs w:val="22"/>
              </w:rPr>
            </w:pPr>
            <w:r w:rsidRPr="00160228">
              <w:rPr>
                <w:rFonts w:cs="Arial"/>
                <w:b/>
                <w:sz w:val="22"/>
                <w:szCs w:val="22"/>
              </w:rPr>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tc>
        <w:tc>
          <w:tcPr>
            <w:tcW w:w="6946" w:type="dxa"/>
            <w:tcBorders>
              <w:bottom w:val="single" w:sz="4" w:space="0" w:color="auto"/>
            </w:tcBorders>
          </w:tcPr>
          <w:p w14:paraId="1D408CEF" w14:textId="692EC7C7" w:rsidR="00305475" w:rsidRPr="00270CAB" w:rsidRDefault="00305475" w:rsidP="00F243CA">
            <w:pPr>
              <w:overflowPunct/>
              <w:spacing w:before="120" w:after="120" w:line="211" w:lineRule="atLeast"/>
              <w:jc w:val="both"/>
              <w:textAlignment w:val="auto"/>
              <w:rPr>
                <w:rFonts w:eastAsiaTheme="minorHAnsi" w:cs="Arial"/>
                <w:sz w:val="22"/>
                <w:szCs w:val="22"/>
                <w:lang w:eastAsia="en-US"/>
              </w:rPr>
            </w:pPr>
            <w:r w:rsidRPr="00270CAB">
              <w:rPr>
                <w:rFonts w:eastAsiaTheme="minorHAnsi" w:cs="Arial"/>
                <w:sz w:val="22"/>
                <w:szCs w:val="22"/>
                <w:lang w:eastAsia="en-US"/>
              </w:rPr>
              <w:t xml:space="preserve">Local reactions following vaccination are very common ie pain, swelling, erythema and induration at the injection site. </w:t>
            </w:r>
          </w:p>
          <w:p w14:paraId="11D329E1" w14:textId="7329DA6A" w:rsidR="00E8748D" w:rsidRPr="00270CAB" w:rsidRDefault="00E8748D" w:rsidP="00F243CA">
            <w:pPr>
              <w:overflowPunct/>
              <w:spacing w:before="120" w:after="120" w:line="211" w:lineRule="atLeast"/>
              <w:jc w:val="both"/>
              <w:textAlignment w:val="auto"/>
              <w:rPr>
                <w:rFonts w:eastAsiaTheme="minorHAnsi" w:cs="Arial"/>
                <w:sz w:val="22"/>
                <w:szCs w:val="22"/>
                <w:lang w:eastAsia="en-US"/>
              </w:rPr>
            </w:pPr>
            <w:r w:rsidRPr="00270CAB">
              <w:rPr>
                <w:rFonts w:eastAsiaTheme="minorHAnsi" w:cs="Arial"/>
                <w:sz w:val="22"/>
                <w:szCs w:val="22"/>
                <w:lang w:eastAsia="en-US"/>
              </w:rPr>
              <w:t xml:space="preserve">Adverse reactions to </w:t>
            </w:r>
            <w:r w:rsidR="00270CAB" w:rsidRPr="00270CAB">
              <w:rPr>
                <w:rFonts w:eastAsiaTheme="minorHAnsi" w:cs="Arial"/>
                <w:sz w:val="22"/>
                <w:szCs w:val="22"/>
                <w:lang w:eastAsia="en-US"/>
              </w:rPr>
              <w:t>typhoid Vi polysaccharide</w:t>
            </w:r>
            <w:r w:rsidRPr="00270CAB">
              <w:rPr>
                <w:rFonts w:eastAsiaTheme="minorHAnsi" w:cs="Arial"/>
                <w:sz w:val="22"/>
                <w:szCs w:val="22"/>
                <w:lang w:eastAsia="en-US"/>
              </w:rPr>
              <w:t xml:space="preserve"> vaccines are usually mild and </w:t>
            </w:r>
            <w:r w:rsidR="00270CAB" w:rsidRPr="00270CAB">
              <w:rPr>
                <w:rFonts w:eastAsiaTheme="minorHAnsi" w:cs="Arial"/>
                <w:sz w:val="22"/>
                <w:szCs w:val="22"/>
                <w:lang w:eastAsia="en-US"/>
              </w:rPr>
              <w:t>transient, disappearing a</w:t>
            </w:r>
            <w:r w:rsidRPr="00270CAB">
              <w:rPr>
                <w:rFonts w:eastAsiaTheme="minorHAnsi" w:cs="Arial"/>
                <w:sz w:val="22"/>
                <w:szCs w:val="22"/>
                <w:lang w:eastAsia="en-US"/>
              </w:rPr>
              <w:t xml:space="preserve"> few days after immunisation. </w:t>
            </w:r>
          </w:p>
          <w:p w14:paraId="71D8E8EE" w14:textId="5646FE45" w:rsidR="00305475" w:rsidRPr="00305475" w:rsidRDefault="00EC18DB" w:rsidP="00F243CA">
            <w:pPr>
              <w:overflowPunct/>
              <w:spacing w:after="120" w:line="211" w:lineRule="atLeast"/>
              <w:jc w:val="both"/>
              <w:textAlignment w:val="auto"/>
              <w:rPr>
                <w:rFonts w:eastAsiaTheme="minorHAnsi" w:cs="Arial"/>
                <w:sz w:val="22"/>
                <w:szCs w:val="22"/>
                <w:lang w:eastAsia="en-US"/>
              </w:rPr>
            </w:pPr>
            <w:r w:rsidRPr="00305475">
              <w:rPr>
                <w:rFonts w:eastAsiaTheme="minorHAnsi" w:cs="Arial"/>
                <w:sz w:val="22"/>
                <w:szCs w:val="22"/>
                <w:lang w:eastAsia="en-US"/>
              </w:rPr>
              <w:t xml:space="preserve">Other reported reactions to </w:t>
            </w:r>
            <w:r w:rsidR="00305475" w:rsidRPr="00305475">
              <w:rPr>
                <w:rFonts w:eastAsiaTheme="minorHAnsi" w:cs="Arial"/>
                <w:sz w:val="22"/>
                <w:szCs w:val="22"/>
                <w:lang w:eastAsia="en-US"/>
              </w:rPr>
              <w:t>typhoid</w:t>
            </w:r>
            <w:r w:rsidRPr="00305475">
              <w:rPr>
                <w:rFonts w:eastAsiaTheme="minorHAnsi" w:cs="Arial"/>
                <w:sz w:val="22"/>
                <w:szCs w:val="22"/>
                <w:lang w:eastAsia="en-US"/>
              </w:rPr>
              <w:t xml:space="preserve"> </w:t>
            </w:r>
            <w:r w:rsidR="00305475" w:rsidRPr="00305475">
              <w:rPr>
                <w:rFonts w:eastAsiaTheme="minorHAnsi" w:cs="Arial"/>
                <w:sz w:val="22"/>
                <w:szCs w:val="22"/>
                <w:lang w:eastAsia="en-US"/>
              </w:rPr>
              <w:t xml:space="preserve">Vi polysaccharide </w:t>
            </w:r>
            <w:r w:rsidRPr="00305475">
              <w:rPr>
                <w:rFonts w:eastAsiaTheme="minorHAnsi" w:cs="Arial"/>
                <w:sz w:val="22"/>
                <w:szCs w:val="22"/>
                <w:lang w:eastAsia="en-US"/>
              </w:rPr>
              <w:t>vaccination include g</w:t>
            </w:r>
            <w:r w:rsidR="00E8748D" w:rsidRPr="00305475">
              <w:rPr>
                <w:rFonts w:eastAsiaTheme="minorHAnsi" w:cs="Arial"/>
                <w:sz w:val="22"/>
                <w:szCs w:val="22"/>
                <w:lang w:eastAsia="en-US"/>
              </w:rPr>
              <w:t xml:space="preserve">eneral symptoms such as fever, </w:t>
            </w:r>
            <w:r w:rsidR="00305475" w:rsidRPr="00305475">
              <w:rPr>
                <w:rFonts w:eastAsiaTheme="minorHAnsi" w:cs="Arial"/>
                <w:sz w:val="22"/>
                <w:szCs w:val="22"/>
                <w:lang w:eastAsia="en-US"/>
              </w:rPr>
              <w:t xml:space="preserve">general aches, </w:t>
            </w:r>
            <w:r w:rsidR="00E8748D" w:rsidRPr="00305475">
              <w:rPr>
                <w:rFonts w:eastAsiaTheme="minorHAnsi" w:cs="Arial"/>
                <w:sz w:val="22"/>
                <w:szCs w:val="22"/>
                <w:lang w:eastAsia="en-US"/>
              </w:rPr>
              <w:t>malaise,</w:t>
            </w:r>
            <w:r w:rsidR="00305475" w:rsidRPr="00305475">
              <w:rPr>
                <w:rFonts w:eastAsiaTheme="minorHAnsi" w:cs="Arial"/>
                <w:sz w:val="22"/>
                <w:szCs w:val="22"/>
                <w:lang w:eastAsia="en-US"/>
              </w:rPr>
              <w:t xml:space="preserve"> headache, nausea and itching.</w:t>
            </w:r>
          </w:p>
          <w:p w14:paraId="4E451874" w14:textId="2A954526" w:rsidR="00E41C42" w:rsidRPr="00305475" w:rsidRDefault="00E41C42" w:rsidP="00E8748D">
            <w:pPr>
              <w:overflowPunct/>
              <w:spacing w:line="211" w:lineRule="atLeast"/>
              <w:jc w:val="both"/>
              <w:textAlignment w:val="auto"/>
              <w:rPr>
                <w:rFonts w:ascii="TimesNewRomanPS" w:eastAsiaTheme="minorHAnsi" w:hAnsi="TimesNewRomanPS" w:cs="TimesNewRomanPS"/>
                <w:sz w:val="21"/>
                <w:szCs w:val="21"/>
                <w:lang w:eastAsia="en-US"/>
              </w:rPr>
            </w:pPr>
            <w:r w:rsidRPr="00305475">
              <w:rPr>
                <w:rFonts w:cs="Arial"/>
                <w:sz w:val="22"/>
                <w:szCs w:val="22"/>
              </w:rPr>
              <w:t>Hypersensitivity reactions and anaphylaxis can occur but are very rare.</w:t>
            </w:r>
          </w:p>
          <w:p w14:paraId="7D74A6EF" w14:textId="0E1239B8" w:rsidR="00192EC3" w:rsidRDefault="00EE43D4" w:rsidP="00192EC3">
            <w:pPr>
              <w:overflowPunct/>
              <w:spacing w:before="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adverse reactions is available in </w:t>
            </w:r>
            <w:r w:rsidR="0022054B">
              <w:rPr>
                <w:rFonts w:eastAsiaTheme="minorHAnsi" w:cs="Arial"/>
                <w:color w:val="000000"/>
                <w:sz w:val="22"/>
                <w:szCs w:val="22"/>
                <w:lang w:eastAsia="en-US"/>
              </w:rPr>
              <w:t>the SPC</w:t>
            </w:r>
            <w:r w:rsidR="002D2577">
              <w:rPr>
                <w:rFonts w:eastAsiaTheme="minorHAnsi" w:cs="Arial"/>
                <w:color w:val="000000"/>
                <w:sz w:val="22"/>
                <w:szCs w:val="22"/>
                <w:lang w:eastAsia="en-US"/>
              </w:rPr>
              <w:t xml:space="preserve"> </w:t>
            </w:r>
            <w:r>
              <w:rPr>
                <w:rFonts w:eastAsiaTheme="minorHAnsi" w:cs="Arial"/>
                <w:color w:val="000000"/>
                <w:sz w:val="22"/>
                <w:szCs w:val="22"/>
                <w:lang w:eastAsia="en-US"/>
              </w:rPr>
              <w:t>, which is available from the electronic</w:t>
            </w:r>
            <w:r w:rsidR="00192EC3">
              <w:rPr>
                <w:rFonts w:eastAsiaTheme="minorHAnsi" w:cs="Arial"/>
                <w:color w:val="000000"/>
                <w:sz w:val="22"/>
                <w:szCs w:val="22"/>
                <w:lang w:eastAsia="en-US"/>
              </w:rPr>
              <w:t xml:space="preserve"> </w:t>
            </w:r>
            <w:r>
              <w:rPr>
                <w:rFonts w:eastAsiaTheme="minorHAnsi" w:cs="Arial"/>
                <w:color w:val="000000"/>
                <w:sz w:val="22"/>
                <w:szCs w:val="22"/>
                <w:lang w:eastAsia="en-US"/>
              </w:rPr>
              <w:t>Medicines Compendium website:</w:t>
            </w:r>
          </w:p>
          <w:p w14:paraId="7F11367B" w14:textId="7F350CE4" w:rsidR="00EB4085" w:rsidRPr="00192EC3" w:rsidRDefault="00530B27" w:rsidP="00EE43D4">
            <w:pPr>
              <w:spacing w:after="120"/>
              <w:ind w:right="34"/>
              <w:rPr>
                <w:rFonts w:eastAsiaTheme="minorHAnsi" w:cs="Arial"/>
                <w:color w:val="000000"/>
                <w:sz w:val="22"/>
                <w:szCs w:val="22"/>
                <w:lang w:eastAsia="en-US"/>
              </w:rPr>
            </w:pPr>
            <w:hyperlink r:id="rId34" w:history="1">
              <w:r w:rsidR="00E8748D" w:rsidRPr="00230481">
                <w:rPr>
                  <w:rStyle w:val="Hyperlink"/>
                  <w:rFonts w:eastAsiaTheme="minorHAnsi" w:cs="Arial"/>
                  <w:sz w:val="22"/>
                  <w:szCs w:val="22"/>
                  <w:lang w:eastAsia="en-US"/>
                </w:rPr>
                <w:t>www.medicines.org.uk</w:t>
              </w:r>
            </w:hyperlink>
            <w:r w:rsidR="00E8748D">
              <w:rPr>
                <w:rFonts w:eastAsiaTheme="minorHAnsi" w:cs="Arial"/>
                <w:color w:val="0000FF"/>
                <w:sz w:val="22"/>
                <w:szCs w:val="22"/>
                <w:lang w:eastAsia="en-US"/>
              </w:rPr>
              <w:t xml:space="preserve"> </w:t>
            </w:r>
          </w:p>
        </w:tc>
      </w:tr>
      <w:tr w:rsidR="00A956FD" w:rsidRPr="00A956FD" w14:paraId="505B8204" w14:textId="77777777" w:rsidTr="0087180E">
        <w:tc>
          <w:tcPr>
            <w:tcW w:w="2977" w:type="dxa"/>
            <w:tcBorders>
              <w:bottom w:val="single" w:sz="4" w:space="0" w:color="auto"/>
            </w:tcBorders>
          </w:tcPr>
          <w:p w14:paraId="62271F75" w14:textId="296CE481"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14:paraId="1F705472" w14:textId="1B3A494F" w:rsidR="001F63AD" w:rsidRDefault="001F63AD" w:rsidP="001F63AD">
            <w:pPr>
              <w:pStyle w:val="TableParagraph"/>
              <w:spacing w:before="120" w:after="120"/>
              <w:rPr>
                <w:rFonts w:ascii="Arial" w:eastAsia="Arial" w:hAnsi="Arial" w:cs="Arial"/>
              </w:rPr>
            </w:pPr>
            <w:r w:rsidRPr="00FF5230">
              <w:rPr>
                <w:rFonts w:ascii="Arial" w:eastAsia="Arial" w:hAnsi="Arial" w:cs="Arial"/>
              </w:rPr>
              <w:t>Healthcare</w:t>
            </w:r>
            <w:r w:rsidRPr="00FF5230">
              <w:rPr>
                <w:rFonts w:ascii="Arial" w:eastAsia="Arial" w:hAnsi="Arial" w:cs="Arial"/>
                <w:spacing w:val="26"/>
              </w:rPr>
              <w:t xml:space="preserve"> </w:t>
            </w:r>
            <w:r w:rsidRPr="00FF5230">
              <w:rPr>
                <w:rFonts w:ascii="Arial" w:eastAsia="Arial" w:hAnsi="Arial" w:cs="Arial"/>
              </w:rPr>
              <w:t>professionals</w:t>
            </w:r>
            <w:r w:rsidRPr="00FF5230">
              <w:rPr>
                <w:rFonts w:ascii="Arial" w:eastAsia="Arial" w:hAnsi="Arial" w:cs="Arial"/>
                <w:spacing w:val="24"/>
              </w:rPr>
              <w:t xml:space="preserve"> </w:t>
            </w:r>
            <w:r w:rsidRPr="00FF5230">
              <w:rPr>
                <w:rFonts w:ascii="Arial" w:eastAsia="Arial" w:hAnsi="Arial" w:cs="Arial"/>
              </w:rPr>
              <w:t>and</w:t>
            </w:r>
            <w:r w:rsidRPr="00FF5230">
              <w:rPr>
                <w:rFonts w:ascii="Arial" w:eastAsia="Arial" w:hAnsi="Arial" w:cs="Arial"/>
                <w:spacing w:val="14"/>
              </w:rPr>
              <w:t xml:space="preserve"> </w:t>
            </w:r>
            <w:r>
              <w:rPr>
                <w:rFonts w:ascii="Arial" w:eastAsia="Arial" w:hAnsi="Arial" w:cs="Arial"/>
              </w:rPr>
              <w:t>individuals/parents</w:t>
            </w:r>
            <w:r w:rsidRPr="00FF5230">
              <w:rPr>
                <w:rFonts w:ascii="Arial" w:eastAsia="Arial" w:hAnsi="Arial" w:cs="Arial"/>
              </w:rPr>
              <w:t>/carers are</w:t>
            </w:r>
            <w:r w:rsidRPr="00FF5230">
              <w:rPr>
                <w:rFonts w:ascii="Arial" w:eastAsia="Arial" w:hAnsi="Arial" w:cs="Arial"/>
                <w:spacing w:val="10"/>
              </w:rPr>
              <w:t xml:space="preserve"> </w:t>
            </w:r>
            <w:r w:rsidRPr="00FF5230">
              <w:rPr>
                <w:rFonts w:ascii="Arial" w:eastAsia="Arial" w:hAnsi="Arial" w:cs="Arial"/>
              </w:rPr>
              <w:t>encouraged</w:t>
            </w:r>
            <w:r w:rsidRPr="00FF5230">
              <w:rPr>
                <w:rFonts w:ascii="Arial" w:eastAsia="Arial" w:hAnsi="Arial" w:cs="Arial"/>
                <w:spacing w:val="25"/>
              </w:rPr>
              <w:t xml:space="preserve"> </w:t>
            </w:r>
            <w:r w:rsidRPr="00FF5230">
              <w:rPr>
                <w:rFonts w:ascii="Arial" w:eastAsia="Arial" w:hAnsi="Arial" w:cs="Arial"/>
              </w:rPr>
              <w:t>to</w:t>
            </w:r>
            <w:r w:rsidRPr="00FF5230">
              <w:rPr>
                <w:rFonts w:ascii="Arial" w:eastAsia="Arial" w:hAnsi="Arial" w:cs="Arial"/>
                <w:spacing w:val="21"/>
              </w:rPr>
              <w:t xml:space="preserve"> </w:t>
            </w:r>
            <w:r w:rsidRPr="00FF5230">
              <w:rPr>
                <w:rFonts w:ascii="Arial" w:eastAsia="Arial" w:hAnsi="Arial" w:cs="Arial"/>
              </w:rPr>
              <w:t>report</w:t>
            </w:r>
            <w:r w:rsidRPr="00FF5230">
              <w:rPr>
                <w:rFonts w:ascii="Arial" w:eastAsia="Arial" w:hAnsi="Arial" w:cs="Arial"/>
                <w:spacing w:val="13"/>
              </w:rPr>
              <w:t xml:space="preserve"> </w:t>
            </w:r>
            <w:r w:rsidRPr="00FF5230">
              <w:rPr>
                <w:rFonts w:ascii="Arial" w:eastAsia="Arial" w:hAnsi="Arial" w:cs="Arial"/>
              </w:rPr>
              <w:t>suspected</w:t>
            </w:r>
            <w:r w:rsidRPr="00FF5230">
              <w:rPr>
                <w:rFonts w:ascii="Arial" w:eastAsia="Arial" w:hAnsi="Arial" w:cs="Arial"/>
                <w:spacing w:val="18"/>
              </w:rPr>
              <w:t xml:space="preserve"> </w:t>
            </w:r>
            <w:r w:rsidRPr="00FF5230">
              <w:rPr>
                <w:rFonts w:ascii="Arial" w:eastAsia="Arial" w:hAnsi="Arial" w:cs="Arial"/>
              </w:rPr>
              <w:t>adverse</w:t>
            </w:r>
            <w:r w:rsidRPr="00FF5230">
              <w:rPr>
                <w:rFonts w:ascii="Arial" w:eastAsia="Arial" w:hAnsi="Arial" w:cs="Arial"/>
                <w:spacing w:val="29"/>
              </w:rPr>
              <w:t xml:space="preserve"> </w:t>
            </w:r>
            <w:r w:rsidRPr="00FF5230">
              <w:rPr>
                <w:rFonts w:ascii="Arial" w:eastAsia="Arial" w:hAnsi="Arial" w:cs="Arial"/>
              </w:rPr>
              <w:t>reactions</w:t>
            </w:r>
            <w:r w:rsidRPr="00FF5230">
              <w:rPr>
                <w:rFonts w:ascii="Arial" w:eastAsia="Arial" w:hAnsi="Arial" w:cs="Arial"/>
                <w:spacing w:val="10"/>
              </w:rPr>
              <w:t xml:space="preserve"> </w:t>
            </w:r>
            <w:r w:rsidRPr="00FF5230">
              <w:rPr>
                <w:rFonts w:ascii="Arial" w:eastAsia="Arial" w:hAnsi="Arial" w:cs="Arial"/>
              </w:rPr>
              <w:t>to</w:t>
            </w:r>
            <w:r w:rsidRPr="00FF5230">
              <w:rPr>
                <w:rFonts w:ascii="Arial" w:eastAsia="Arial" w:hAnsi="Arial" w:cs="Arial"/>
                <w:spacing w:val="14"/>
              </w:rPr>
              <w:t xml:space="preserve"> </w:t>
            </w:r>
            <w:r w:rsidRPr="00FF5230">
              <w:rPr>
                <w:rFonts w:ascii="Arial" w:eastAsia="Arial" w:hAnsi="Arial" w:cs="Arial"/>
              </w:rPr>
              <w:t>the</w:t>
            </w:r>
            <w:r w:rsidRPr="00FF5230">
              <w:rPr>
                <w:rFonts w:ascii="Arial" w:eastAsia="Arial" w:hAnsi="Arial" w:cs="Arial"/>
                <w:w w:val="98"/>
              </w:rPr>
              <w:t xml:space="preserve"> </w:t>
            </w:r>
            <w:r w:rsidRPr="00FF5230">
              <w:rPr>
                <w:rFonts w:ascii="Arial" w:eastAsia="Arial" w:hAnsi="Arial" w:cs="Arial"/>
              </w:rPr>
              <w:t>Medicines</w:t>
            </w:r>
            <w:r w:rsidRPr="00FF5230">
              <w:rPr>
                <w:rFonts w:ascii="Arial" w:eastAsia="Arial" w:hAnsi="Arial" w:cs="Arial"/>
                <w:spacing w:val="22"/>
              </w:rPr>
              <w:t xml:space="preserve"> </w:t>
            </w:r>
            <w:r w:rsidRPr="00FF5230">
              <w:rPr>
                <w:rFonts w:ascii="Arial" w:eastAsia="Arial" w:hAnsi="Arial" w:cs="Arial"/>
              </w:rPr>
              <w:t>and</w:t>
            </w:r>
            <w:r w:rsidRPr="00FF5230">
              <w:rPr>
                <w:rFonts w:ascii="Arial" w:eastAsia="Arial" w:hAnsi="Arial" w:cs="Arial"/>
                <w:spacing w:val="19"/>
              </w:rPr>
              <w:t xml:space="preserve"> </w:t>
            </w:r>
            <w:r w:rsidRPr="00FF5230">
              <w:rPr>
                <w:rFonts w:ascii="Arial" w:eastAsia="Arial" w:hAnsi="Arial" w:cs="Arial"/>
              </w:rPr>
              <w:t>Healthcare</w:t>
            </w:r>
            <w:r w:rsidRPr="00FF5230">
              <w:rPr>
                <w:rFonts w:ascii="Arial" w:eastAsia="Arial" w:hAnsi="Arial" w:cs="Arial"/>
                <w:spacing w:val="18"/>
              </w:rPr>
              <w:t xml:space="preserve"> </w:t>
            </w:r>
            <w:r w:rsidRPr="00FF5230">
              <w:rPr>
                <w:rFonts w:ascii="Arial" w:eastAsia="Arial" w:hAnsi="Arial" w:cs="Arial"/>
              </w:rPr>
              <w:t>products</w:t>
            </w:r>
            <w:r w:rsidRPr="00FF5230">
              <w:rPr>
                <w:rFonts w:ascii="Arial" w:eastAsia="Arial" w:hAnsi="Arial" w:cs="Arial"/>
                <w:spacing w:val="23"/>
              </w:rPr>
              <w:t xml:space="preserve"> </w:t>
            </w:r>
            <w:r w:rsidRPr="00FF5230">
              <w:rPr>
                <w:rFonts w:ascii="Arial" w:eastAsia="Arial" w:hAnsi="Arial" w:cs="Arial"/>
              </w:rPr>
              <w:t>Regulatory</w:t>
            </w:r>
            <w:r w:rsidRPr="00FF5230">
              <w:rPr>
                <w:rFonts w:ascii="Arial" w:eastAsia="Arial" w:hAnsi="Arial" w:cs="Arial"/>
                <w:spacing w:val="7"/>
              </w:rPr>
              <w:t xml:space="preserve"> </w:t>
            </w:r>
            <w:r w:rsidRPr="00FF5230">
              <w:rPr>
                <w:rFonts w:ascii="Arial" w:eastAsia="Arial" w:hAnsi="Arial" w:cs="Arial"/>
              </w:rPr>
              <w:t>Agency</w:t>
            </w:r>
            <w:r w:rsidRPr="00FF5230">
              <w:rPr>
                <w:rFonts w:ascii="Arial" w:eastAsia="Arial" w:hAnsi="Arial" w:cs="Arial"/>
                <w:spacing w:val="38"/>
              </w:rPr>
              <w:t xml:space="preserve"> </w:t>
            </w:r>
            <w:r w:rsidRPr="00FF5230">
              <w:rPr>
                <w:rFonts w:ascii="Arial" w:eastAsia="Arial" w:hAnsi="Arial" w:cs="Arial"/>
              </w:rPr>
              <w:t>(MHRA)</w:t>
            </w:r>
            <w:r w:rsidRPr="00FF5230">
              <w:rPr>
                <w:rFonts w:ascii="Arial" w:eastAsia="Arial" w:hAnsi="Arial" w:cs="Arial"/>
                <w:w w:val="101"/>
              </w:rPr>
              <w:t xml:space="preserve"> </w:t>
            </w:r>
            <w:r w:rsidRPr="00FF5230">
              <w:rPr>
                <w:rFonts w:ascii="Arial" w:eastAsia="Arial" w:hAnsi="Arial" w:cs="Arial"/>
              </w:rPr>
              <w:t>using</w:t>
            </w:r>
            <w:r w:rsidRPr="00FF5230">
              <w:rPr>
                <w:rFonts w:ascii="Arial" w:eastAsia="Arial" w:hAnsi="Arial" w:cs="Arial"/>
                <w:spacing w:val="9"/>
              </w:rPr>
              <w:t xml:space="preserve"> </w:t>
            </w:r>
            <w:r w:rsidRPr="00FF5230">
              <w:rPr>
                <w:rFonts w:ascii="Arial" w:eastAsia="Arial" w:hAnsi="Arial" w:cs="Arial"/>
              </w:rPr>
              <w:t>the</w:t>
            </w:r>
            <w:r w:rsidRPr="00FF5230">
              <w:rPr>
                <w:rFonts w:ascii="Arial" w:eastAsia="Arial" w:hAnsi="Arial" w:cs="Arial"/>
                <w:spacing w:val="11"/>
              </w:rPr>
              <w:t xml:space="preserve"> </w:t>
            </w:r>
            <w:r w:rsidRPr="00FF5230">
              <w:rPr>
                <w:rFonts w:ascii="Arial" w:eastAsia="Arial" w:hAnsi="Arial" w:cs="Arial"/>
              </w:rPr>
              <w:t>Yellow</w:t>
            </w:r>
            <w:r w:rsidRPr="00FF5230">
              <w:rPr>
                <w:rFonts w:ascii="Arial" w:eastAsia="Arial" w:hAnsi="Arial" w:cs="Arial"/>
                <w:spacing w:val="28"/>
              </w:rPr>
              <w:t xml:space="preserve"> </w:t>
            </w:r>
            <w:r w:rsidRPr="00FF5230">
              <w:rPr>
                <w:rFonts w:ascii="Arial" w:eastAsia="Arial" w:hAnsi="Arial" w:cs="Arial"/>
              </w:rPr>
              <w:t>Card</w:t>
            </w:r>
            <w:r w:rsidRPr="00FF5230">
              <w:rPr>
                <w:rFonts w:ascii="Arial" w:eastAsia="Arial" w:hAnsi="Arial" w:cs="Arial"/>
                <w:spacing w:val="16"/>
              </w:rPr>
              <w:t xml:space="preserve"> </w:t>
            </w:r>
            <w:r w:rsidRPr="00FF5230">
              <w:rPr>
                <w:rFonts w:ascii="Arial" w:eastAsia="Arial" w:hAnsi="Arial" w:cs="Arial"/>
              </w:rPr>
              <w:t>reporting</w:t>
            </w:r>
            <w:r w:rsidRPr="00FF5230">
              <w:rPr>
                <w:rFonts w:ascii="Arial" w:eastAsia="Arial" w:hAnsi="Arial" w:cs="Arial"/>
                <w:spacing w:val="12"/>
              </w:rPr>
              <w:t xml:space="preserve"> </w:t>
            </w:r>
            <w:r w:rsidRPr="00FF5230">
              <w:rPr>
                <w:rFonts w:ascii="Arial" w:eastAsia="Arial" w:hAnsi="Arial" w:cs="Arial"/>
              </w:rPr>
              <w:t>scheme</w:t>
            </w:r>
            <w:r w:rsidRPr="00FF5230">
              <w:rPr>
                <w:rFonts w:ascii="Arial" w:eastAsia="Arial" w:hAnsi="Arial" w:cs="Arial"/>
                <w:spacing w:val="16"/>
              </w:rPr>
              <w:t xml:space="preserve"> </w:t>
            </w:r>
            <w:r w:rsidR="00103359">
              <w:rPr>
                <w:rFonts w:ascii="Arial" w:eastAsia="Arial" w:hAnsi="Arial" w:cs="Arial"/>
              </w:rPr>
              <w:t>at</w:t>
            </w:r>
            <w:r w:rsidRPr="00FF5230">
              <w:rPr>
                <w:rFonts w:ascii="Arial" w:eastAsia="Arial" w:hAnsi="Arial" w:cs="Arial"/>
              </w:rPr>
              <w:t xml:space="preserve">: </w:t>
            </w:r>
            <w:hyperlink r:id="rId35" w:history="1">
              <w:r w:rsidRPr="00FF5230">
                <w:rPr>
                  <w:rStyle w:val="Hyperlink"/>
                  <w:rFonts w:ascii="Arial" w:eastAsia="Times New Roman" w:hAnsi="Arial" w:cs="Arial"/>
                  <w:lang w:val="en-GB" w:eastAsia="en-GB"/>
                </w:rPr>
                <w:t>http://yellowcard.mhra.gov.uk</w:t>
              </w:r>
            </w:hyperlink>
            <w:r w:rsidRPr="00FF5230">
              <w:rPr>
                <w:rFonts w:ascii="Arial" w:eastAsia="Arial" w:hAnsi="Arial" w:cs="Arial"/>
              </w:rPr>
              <w:t xml:space="preserve">   </w:t>
            </w:r>
          </w:p>
          <w:p w14:paraId="0B978F27" w14:textId="36E1C4C6" w:rsidR="00EB4085" w:rsidRPr="00EE43D4" w:rsidRDefault="001F63AD" w:rsidP="001F63AD">
            <w:pPr>
              <w:pStyle w:val="TableParagraph"/>
              <w:spacing w:before="120" w:after="120"/>
              <w:rPr>
                <w:rFonts w:ascii="Arial" w:hAnsi="Arial" w:cs="Arial"/>
              </w:rPr>
            </w:pPr>
            <w:r w:rsidRPr="00FF5230">
              <w:rPr>
                <w:rFonts w:ascii="Arial" w:hAnsi="Arial" w:cs="Arial"/>
              </w:rPr>
              <w:t xml:space="preserve">Any adverse reaction to a vaccine should be </w:t>
            </w:r>
            <w:r w:rsidRPr="00FF5230">
              <w:rPr>
                <w:rFonts w:ascii="Arial" w:eastAsia="Arial" w:hAnsi="Arial" w:cs="Arial"/>
              </w:rPr>
              <w:t>documented in the individual’s record and the individual’s GP should be informed.</w:t>
            </w:r>
            <w:r w:rsidR="00EE43D4" w:rsidRPr="008102A8">
              <w:rPr>
                <w:rFonts w:ascii="Arial" w:eastAsia="Arial" w:hAnsi="Arial" w:cs="Arial"/>
              </w:rPr>
              <w:t xml:space="preserve"> </w:t>
            </w:r>
          </w:p>
        </w:tc>
      </w:tr>
      <w:tr w:rsidR="00A956FD" w:rsidRPr="00A956FD" w14:paraId="1550B5F3" w14:textId="77777777" w:rsidTr="0087180E">
        <w:tc>
          <w:tcPr>
            <w:tcW w:w="2977" w:type="dxa"/>
            <w:tcBorders>
              <w:bottom w:val="single" w:sz="4" w:space="0" w:color="auto"/>
            </w:tcBorders>
          </w:tcPr>
          <w:p w14:paraId="6197ABCB" w14:textId="174F10F8"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14:paraId="12A66A82" w14:textId="55604902" w:rsidR="00CF0086" w:rsidRPr="00A905F6" w:rsidRDefault="001F63AD" w:rsidP="001F63AD">
            <w:pPr>
              <w:pStyle w:val="TableParagraph"/>
              <w:spacing w:before="120" w:after="120"/>
              <w:ind w:right="89"/>
              <w:rPr>
                <w:rFonts w:ascii="Arial" w:eastAsia="Arial" w:hAnsi="Arial" w:cs="Arial"/>
                <w:color w:val="FF0000"/>
              </w:rPr>
            </w:pPr>
            <w:r w:rsidRPr="00FF5230">
              <w:rPr>
                <w:rFonts w:ascii="Arial" w:eastAsia="Arial" w:hAnsi="Arial" w:cs="Arial"/>
              </w:rPr>
              <w:t xml:space="preserve">Offer marketing authorisation holder's patient information leaflet (PIL) provided with the vaccine.  </w:t>
            </w:r>
          </w:p>
        </w:tc>
      </w:tr>
      <w:tr w:rsidR="00A956FD"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0DAE649F" w14:textId="2DE70815" w:rsidR="000E478E"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14:paraId="7656DF0E" w14:textId="77777777" w:rsidR="008519B2" w:rsidRDefault="008519B2" w:rsidP="00080471">
            <w:pPr>
              <w:pStyle w:val="Header"/>
              <w:tabs>
                <w:tab w:val="clear" w:pos="4153"/>
                <w:tab w:val="clear" w:pos="8306"/>
              </w:tabs>
              <w:spacing w:before="120" w:after="120"/>
              <w:rPr>
                <w:rFonts w:ascii="Arial" w:hAnsi="Arial" w:cs="Arial"/>
                <w:b/>
                <w:sz w:val="22"/>
                <w:szCs w:val="22"/>
              </w:rPr>
            </w:pPr>
          </w:p>
          <w:p w14:paraId="1F724F8F" w14:textId="77777777" w:rsidR="008519B2" w:rsidRDefault="008519B2" w:rsidP="00080471">
            <w:pPr>
              <w:pStyle w:val="Header"/>
              <w:tabs>
                <w:tab w:val="clear" w:pos="4153"/>
                <w:tab w:val="clear" w:pos="8306"/>
              </w:tabs>
              <w:spacing w:before="120" w:after="120"/>
              <w:contextualSpacing/>
              <w:rPr>
                <w:rFonts w:ascii="Arial" w:hAnsi="Arial" w:cs="Arial"/>
                <w:sz w:val="22"/>
                <w:szCs w:val="22"/>
              </w:rPr>
            </w:pPr>
          </w:p>
          <w:p w14:paraId="7F62F610"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1286D135"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59148870"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03C314A5"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6DFBBD41"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6D98531B" w14:textId="77777777" w:rsidR="00E80B26" w:rsidRDefault="00E80B26" w:rsidP="00080471">
            <w:pPr>
              <w:pStyle w:val="Header"/>
              <w:tabs>
                <w:tab w:val="clear" w:pos="4153"/>
                <w:tab w:val="clear" w:pos="8306"/>
              </w:tabs>
              <w:spacing w:before="120" w:after="120"/>
              <w:contextualSpacing/>
              <w:rPr>
                <w:rFonts w:ascii="Arial" w:hAnsi="Arial" w:cs="Arial"/>
                <w:sz w:val="22"/>
                <w:szCs w:val="22"/>
              </w:rPr>
            </w:pPr>
          </w:p>
          <w:p w14:paraId="1CAA8D37" w14:textId="77777777" w:rsidR="00C16B9B" w:rsidRDefault="00C16B9B" w:rsidP="00080471">
            <w:pPr>
              <w:pStyle w:val="Header"/>
              <w:tabs>
                <w:tab w:val="clear" w:pos="4153"/>
                <w:tab w:val="clear" w:pos="8306"/>
              </w:tabs>
              <w:spacing w:before="120" w:after="120"/>
              <w:contextualSpacing/>
              <w:rPr>
                <w:rFonts w:ascii="Arial" w:hAnsi="Arial" w:cs="Arial"/>
                <w:sz w:val="22"/>
                <w:szCs w:val="22"/>
              </w:rPr>
            </w:pPr>
          </w:p>
          <w:p w14:paraId="55F831CC" w14:textId="77777777" w:rsidR="00C16B9B" w:rsidRDefault="00C16B9B" w:rsidP="00080471">
            <w:pPr>
              <w:pStyle w:val="Header"/>
              <w:tabs>
                <w:tab w:val="clear" w:pos="4153"/>
                <w:tab w:val="clear" w:pos="8306"/>
              </w:tabs>
              <w:spacing w:before="120" w:after="120"/>
              <w:contextualSpacing/>
              <w:rPr>
                <w:rFonts w:ascii="Arial" w:hAnsi="Arial" w:cs="Arial"/>
                <w:sz w:val="22"/>
                <w:szCs w:val="22"/>
              </w:rPr>
            </w:pPr>
          </w:p>
          <w:p w14:paraId="68B49406" w14:textId="77777777" w:rsidR="00340725" w:rsidRDefault="00340725" w:rsidP="00080471">
            <w:pPr>
              <w:pStyle w:val="Header"/>
              <w:tabs>
                <w:tab w:val="clear" w:pos="4153"/>
                <w:tab w:val="clear" w:pos="8306"/>
              </w:tabs>
              <w:spacing w:before="120" w:after="120"/>
              <w:contextualSpacing/>
              <w:rPr>
                <w:rFonts w:ascii="Arial" w:hAnsi="Arial" w:cs="Arial"/>
                <w:sz w:val="22"/>
                <w:szCs w:val="22"/>
              </w:rPr>
            </w:pPr>
          </w:p>
          <w:p w14:paraId="2631228D" w14:textId="56246E15" w:rsidR="00E80B26" w:rsidRPr="008519B2" w:rsidRDefault="00E80B26" w:rsidP="00080471">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71F30F6E" w14:textId="2074D2D0" w:rsidR="00EE43D4" w:rsidRPr="00270CAB" w:rsidRDefault="00EE43D4" w:rsidP="00EE43D4">
            <w:pPr>
              <w:pStyle w:val="TableParagraph"/>
              <w:spacing w:before="120" w:after="120"/>
              <w:rPr>
                <w:rFonts w:ascii="Arial" w:eastAsia="Arial" w:hAnsi="Arial" w:cs="Arial"/>
              </w:rPr>
            </w:pPr>
            <w:r w:rsidRPr="00270CAB">
              <w:rPr>
                <w:rFonts w:ascii="Arial" w:eastAsia="Arial" w:hAnsi="Arial" w:cs="Arial"/>
              </w:rPr>
              <w:t>Inform the individual/</w:t>
            </w:r>
            <w:r w:rsidR="00200ECD" w:rsidRPr="00270CAB">
              <w:rPr>
                <w:rFonts w:ascii="Arial" w:eastAsia="Arial" w:hAnsi="Arial" w:cs="Arial"/>
              </w:rPr>
              <w:t>parent/</w:t>
            </w:r>
            <w:r w:rsidRPr="00270CAB">
              <w:rPr>
                <w:rFonts w:ascii="Arial" w:eastAsia="Arial" w:hAnsi="Arial" w:cs="Arial"/>
              </w:rPr>
              <w:t>carer</w:t>
            </w:r>
            <w:r w:rsidRPr="00270CAB">
              <w:rPr>
                <w:rFonts w:ascii="Arial" w:eastAsia="Arial" w:hAnsi="Arial" w:cs="Arial"/>
                <w:spacing w:val="12"/>
              </w:rPr>
              <w:t xml:space="preserve"> </w:t>
            </w:r>
            <w:r w:rsidRPr="00270CAB">
              <w:rPr>
                <w:rFonts w:ascii="Arial" w:eastAsia="Arial" w:hAnsi="Arial" w:cs="Arial"/>
              </w:rPr>
              <w:t xml:space="preserve">of possible side effects and their management. </w:t>
            </w:r>
          </w:p>
          <w:p w14:paraId="14A3E31A" w14:textId="3CC8388D" w:rsidR="00EE43D4" w:rsidRDefault="00EE43D4" w:rsidP="00EE43D4">
            <w:pPr>
              <w:pStyle w:val="TableParagraph"/>
              <w:spacing w:before="120" w:after="120"/>
              <w:rPr>
                <w:rFonts w:ascii="Arial" w:eastAsia="Arial" w:hAnsi="Arial" w:cs="Arial"/>
              </w:rPr>
            </w:pPr>
            <w:r w:rsidRPr="00270CAB">
              <w:rPr>
                <w:rFonts w:ascii="Arial" w:eastAsia="Arial" w:hAnsi="Arial" w:cs="Arial"/>
              </w:rPr>
              <w:t>The</w:t>
            </w:r>
            <w:r w:rsidRPr="00270CAB">
              <w:rPr>
                <w:rFonts w:ascii="Arial" w:eastAsia="Arial" w:hAnsi="Arial" w:cs="Arial"/>
                <w:spacing w:val="23"/>
              </w:rPr>
              <w:t xml:space="preserve"> </w:t>
            </w:r>
            <w:r w:rsidRPr="00270CAB">
              <w:rPr>
                <w:rFonts w:ascii="Arial" w:eastAsia="Arial" w:hAnsi="Arial" w:cs="Arial"/>
              </w:rPr>
              <w:t>individual/</w:t>
            </w:r>
            <w:r w:rsidR="00200ECD" w:rsidRPr="00270CAB">
              <w:rPr>
                <w:rFonts w:ascii="Arial" w:eastAsia="Arial" w:hAnsi="Arial" w:cs="Arial"/>
              </w:rPr>
              <w:t>parent/</w:t>
            </w:r>
            <w:r w:rsidRPr="00270CAB">
              <w:rPr>
                <w:rFonts w:ascii="Arial" w:eastAsia="Arial" w:hAnsi="Arial" w:cs="Arial"/>
              </w:rPr>
              <w:t>carer</w:t>
            </w:r>
            <w:r w:rsidRPr="00270CAB">
              <w:rPr>
                <w:rFonts w:ascii="Arial" w:eastAsia="Arial" w:hAnsi="Arial" w:cs="Arial"/>
                <w:spacing w:val="12"/>
              </w:rPr>
              <w:t xml:space="preserve"> </w:t>
            </w:r>
            <w:r w:rsidRPr="00270CAB">
              <w:rPr>
                <w:rFonts w:ascii="Arial" w:eastAsia="Arial" w:hAnsi="Arial" w:cs="Arial"/>
              </w:rPr>
              <w:t>should</w:t>
            </w:r>
            <w:r w:rsidRPr="00270CAB">
              <w:rPr>
                <w:rFonts w:ascii="Arial" w:eastAsia="Arial" w:hAnsi="Arial" w:cs="Arial"/>
                <w:spacing w:val="27"/>
              </w:rPr>
              <w:t xml:space="preserve"> </w:t>
            </w:r>
            <w:r w:rsidRPr="00270CAB">
              <w:rPr>
                <w:rFonts w:ascii="Arial" w:eastAsia="Arial" w:hAnsi="Arial" w:cs="Arial"/>
              </w:rPr>
              <w:t>be</w:t>
            </w:r>
            <w:r w:rsidRPr="00270CAB">
              <w:rPr>
                <w:rFonts w:ascii="Arial" w:eastAsia="Arial" w:hAnsi="Arial" w:cs="Arial"/>
                <w:spacing w:val="10"/>
              </w:rPr>
              <w:t xml:space="preserve"> </w:t>
            </w:r>
            <w:r w:rsidRPr="00270CAB">
              <w:rPr>
                <w:rFonts w:ascii="Arial" w:eastAsia="Arial" w:hAnsi="Arial" w:cs="Arial"/>
              </w:rPr>
              <w:t>advised</w:t>
            </w:r>
            <w:r w:rsidRPr="00270CAB">
              <w:rPr>
                <w:rFonts w:ascii="Arial" w:eastAsia="Arial" w:hAnsi="Arial" w:cs="Arial"/>
                <w:w w:val="99"/>
              </w:rPr>
              <w:t xml:space="preserve"> </w:t>
            </w:r>
            <w:r w:rsidRPr="00270CAB">
              <w:rPr>
                <w:rFonts w:ascii="Arial" w:eastAsia="Arial" w:hAnsi="Arial" w:cs="Arial"/>
              </w:rPr>
              <w:t>to</w:t>
            </w:r>
            <w:r w:rsidRPr="00270CAB">
              <w:rPr>
                <w:rFonts w:ascii="Arial" w:eastAsia="Arial" w:hAnsi="Arial" w:cs="Arial"/>
                <w:spacing w:val="14"/>
              </w:rPr>
              <w:t xml:space="preserve"> </w:t>
            </w:r>
            <w:r w:rsidRPr="00270CAB">
              <w:rPr>
                <w:rFonts w:ascii="Arial" w:eastAsia="Arial" w:hAnsi="Arial" w:cs="Arial"/>
              </w:rPr>
              <w:t>seek</w:t>
            </w:r>
            <w:r w:rsidRPr="00270CAB">
              <w:rPr>
                <w:rFonts w:ascii="Arial" w:eastAsia="Arial" w:hAnsi="Arial" w:cs="Arial"/>
                <w:spacing w:val="22"/>
              </w:rPr>
              <w:t xml:space="preserve"> </w:t>
            </w:r>
            <w:r w:rsidRPr="00270CAB">
              <w:rPr>
                <w:rFonts w:ascii="Arial" w:eastAsia="Arial" w:hAnsi="Arial" w:cs="Arial"/>
              </w:rPr>
              <w:t>medical</w:t>
            </w:r>
            <w:r w:rsidRPr="00270CAB">
              <w:rPr>
                <w:rFonts w:ascii="Arial" w:eastAsia="Arial" w:hAnsi="Arial" w:cs="Arial"/>
                <w:spacing w:val="12"/>
              </w:rPr>
              <w:t xml:space="preserve"> </w:t>
            </w:r>
            <w:r w:rsidRPr="00270CAB">
              <w:rPr>
                <w:rFonts w:ascii="Arial" w:eastAsia="Arial" w:hAnsi="Arial" w:cs="Arial"/>
              </w:rPr>
              <w:t>advice</w:t>
            </w:r>
            <w:r w:rsidRPr="00270CAB">
              <w:rPr>
                <w:rFonts w:ascii="Arial" w:hAnsi="Arial" w:cs="Arial"/>
              </w:rPr>
              <w:t xml:space="preserve"> i</w:t>
            </w:r>
            <w:r w:rsidRPr="00270CAB">
              <w:rPr>
                <w:rFonts w:ascii="Arial" w:eastAsia="Arial" w:hAnsi="Arial" w:cs="Arial"/>
              </w:rPr>
              <w:t>n the event of an adverse reaction.</w:t>
            </w:r>
          </w:p>
          <w:p w14:paraId="2B916EAD" w14:textId="5B6AB062" w:rsidR="00894FA1" w:rsidRDefault="006B46EF" w:rsidP="001C4BB2">
            <w:pPr>
              <w:pStyle w:val="TableParagraph"/>
              <w:spacing w:before="120"/>
              <w:rPr>
                <w:rFonts w:ascii="Arial" w:eastAsia="Arial" w:hAnsi="Arial" w:cs="Arial"/>
              </w:rPr>
            </w:pPr>
            <w:r w:rsidRPr="00C227B0">
              <w:rPr>
                <w:rFonts w:ascii="Arial" w:eastAsia="Arial" w:hAnsi="Arial" w:cs="Arial"/>
              </w:rPr>
              <w:t xml:space="preserve">The individual/parent/carer should be advised that </w:t>
            </w:r>
            <w:r w:rsidR="00C227B0" w:rsidRPr="00C227B0">
              <w:rPr>
                <w:rFonts w:ascii="Arial" w:eastAsia="Arial" w:hAnsi="Arial" w:cs="Arial"/>
              </w:rPr>
              <w:t xml:space="preserve">Typhoid Vi polysaccharide vaccine offers protection against typhoid fever caused by </w:t>
            </w:r>
            <w:r w:rsidR="00CF09EC">
              <w:rPr>
                <w:rFonts w:ascii="Arial" w:eastAsia="Arial" w:hAnsi="Arial" w:cs="Arial"/>
                <w:i/>
              </w:rPr>
              <w:t>S. t</w:t>
            </w:r>
            <w:r w:rsidR="00C227B0" w:rsidRPr="00C227B0">
              <w:rPr>
                <w:rFonts w:ascii="Arial" w:eastAsia="Arial" w:hAnsi="Arial" w:cs="Arial"/>
                <w:i/>
              </w:rPr>
              <w:t>yphi</w:t>
            </w:r>
            <w:r w:rsidR="00C227B0" w:rsidRPr="00C227B0">
              <w:rPr>
                <w:rFonts w:ascii="Arial" w:eastAsia="Arial" w:hAnsi="Arial" w:cs="Arial"/>
              </w:rPr>
              <w:t xml:space="preserve">, it does not prevent paratyphoid fever or infection with any other serotypes of </w:t>
            </w:r>
            <w:r w:rsidR="00C227B0" w:rsidRPr="00C227B0">
              <w:rPr>
                <w:rFonts w:ascii="Arial" w:eastAsia="Arial" w:hAnsi="Arial" w:cs="Arial"/>
                <w:i/>
              </w:rPr>
              <w:t>S. enterica</w:t>
            </w:r>
            <w:r w:rsidR="00C227B0" w:rsidRPr="00C227B0">
              <w:rPr>
                <w:rFonts w:ascii="Arial" w:eastAsia="Arial" w:hAnsi="Arial" w:cs="Arial"/>
              </w:rPr>
              <w:t xml:space="preserve">. </w:t>
            </w:r>
          </w:p>
          <w:p w14:paraId="7F75A2D8" w14:textId="129CDBF2" w:rsidR="00200ECD" w:rsidRPr="00270CAB" w:rsidRDefault="00894FA1" w:rsidP="001C4BB2">
            <w:pPr>
              <w:pStyle w:val="TableParagraph"/>
              <w:spacing w:before="120"/>
              <w:rPr>
                <w:rFonts w:ascii="Arial" w:eastAsia="Arial" w:hAnsi="Arial" w:cs="Arial"/>
              </w:rPr>
            </w:pPr>
            <w:r w:rsidRPr="00894FA1">
              <w:rPr>
                <w:rFonts w:ascii="Arial" w:eastAsia="Arial" w:hAnsi="Arial" w:cs="Arial"/>
              </w:rPr>
              <w:t xml:space="preserve">The individual/parent/carer should be advised that </w:t>
            </w:r>
            <w:r>
              <w:rPr>
                <w:rFonts w:ascii="Arial" w:eastAsia="Arial" w:hAnsi="Arial" w:cs="Arial"/>
              </w:rPr>
              <w:t>p</w:t>
            </w:r>
            <w:r w:rsidR="006B46EF" w:rsidRPr="00C227B0">
              <w:rPr>
                <w:rFonts w:ascii="Arial" w:eastAsia="Arial" w:hAnsi="Arial" w:cs="Arial"/>
              </w:rPr>
              <w:t>rotection by vaccination may be less if a large number of infective organisms are ingested. Because of the limited protection offered by the vaccine, the importance of scrupulous attention to personal, food and water hygiene must still be emphasised for those travelling to endemic areas.</w:t>
            </w:r>
          </w:p>
          <w:p w14:paraId="7812E2E6" w14:textId="6ED18427" w:rsidR="00EE43D4" w:rsidRPr="000545F3" w:rsidRDefault="00103359" w:rsidP="001C4BB2">
            <w:pPr>
              <w:pStyle w:val="TableParagraph"/>
              <w:spacing w:before="60" w:after="120"/>
              <w:rPr>
                <w:rFonts w:ascii="Arial" w:hAnsi="Arial" w:cs="Arial"/>
              </w:rPr>
            </w:pPr>
            <w:r w:rsidRPr="000545F3">
              <w:rPr>
                <w:rFonts w:ascii="Arial" w:hAnsi="Arial" w:cs="Arial"/>
              </w:rPr>
              <w:t>When applicable, advise individual</w:t>
            </w:r>
            <w:r w:rsidR="00EE43D4" w:rsidRPr="000545F3">
              <w:rPr>
                <w:rFonts w:ascii="Arial" w:hAnsi="Arial" w:cs="Arial"/>
              </w:rPr>
              <w:t>/</w:t>
            </w:r>
            <w:r w:rsidR="00200ECD" w:rsidRPr="000545F3">
              <w:rPr>
                <w:rFonts w:ascii="Arial" w:hAnsi="Arial" w:cs="Arial"/>
              </w:rPr>
              <w:t>parent/</w:t>
            </w:r>
            <w:r w:rsidR="00EE43D4" w:rsidRPr="000545F3">
              <w:rPr>
                <w:rFonts w:ascii="Arial" w:hAnsi="Arial" w:cs="Arial"/>
              </w:rPr>
              <w:t>ca</w:t>
            </w:r>
            <w:r w:rsidR="00200ECD" w:rsidRPr="000545F3">
              <w:rPr>
                <w:rFonts w:ascii="Arial" w:hAnsi="Arial" w:cs="Arial"/>
              </w:rPr>
              <w:t xml:space="preserve">rer when the subsequent dose is </w:t>
            </w:r>
            <w:r w:rsidR="00EE43D4" w:rsidRPr="000545F3">
              <w:rPr>
                <w:rFonts w:ascii="Arial" w:hAnsi="Arial" w:cs="Arial"/>
              </w:rPr>
              <w:t>due.</w:t>
            </w:r>
          </w:p>
          <w:p w14:paraId="75220718" w14:textId="119B72AA" w:rsidR="00B70101" w:rsidRPr="00270CAB" w:rsidRDefault="00EE43D4" w:rsidP="00C227B0">
            <w:pPr>
              <w:spacing w:before="120" w:after="120"/>
              <w:rPr>
                <w:sz w:val="22"/>
                <w:szCs w:val="22"/>
              </w:rPr>
            </w:pPr>
            <w:r w:rsidRPr="00270CAB">
              <w:rPr>
                <w:rFonts w:cs="Arial"/>
                <w:sz w:val="22"/>
                <w:szCs w:val="22"/>
              </w:rPr>
              <w:t xml:space="preserve">When administration is postponed advise the </w:t>
            </w:r>
            <w:r w:rsidRPr="00270CAB">
              <w:rPr>
                <w:rFonts w:eastAsia="Arial" w:cs="Arial"/>
                <w:sz w:val="22"/>
                <w:szCs w:val="22"/>
              </w:rPr>
              <w:t>individual/</w:t>
            </w:r>
            <w:r w:rsidR="00200ECD" w:rsidRPr="00270CAB">
              <w:rPr>
                <w:rFonts w:eastAsia="Arial" w:cs="Arial"/>
                <w:sz w:val="22"/>
                <w:szCs w:val="22"/>
              </w:rPr>
              <w:t>parent/</w:t>
            </w:r>
            <w:r w:rsidRPr="00270CAB">
              <w:rPr>
                <w:rFonts w:eastAsia="Arial" w:cs="Arial"/>
                <w:sz w:val="22"/>
                <w:szCs w:val="22"/>
              </w:rPr>
              <w:t>carer</w:t>
            </w:r>
            <w:r w:rsidRPr="00270CAB">
              <w:rPr>
                <w:rFonts w:cs="Arial"/>
                <w:sz w:val="22"/>
                <w:szCs w:val="22"/>
              </w:rPr>
              <w:t xml:space="preserve"> when to return for vaccination.</w:t>
            </w:r>
          </w:p>
        </w:tc>
      </w:tr>
    </w:tbl>
    <w:p w14:paraId="1F6BD24F" w14:textId="77777777" w:rsidR="00364359" w:rsidRDefault="00364359">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06950CF3" w14:textId="77777777" w:rsidTr="00CF735B">
        <w:tc>
          <w:tcPr>
            <w:tcW w:w="2977" w:type="dxa"/>
          </w:tcPr>
          <w:p w14:paraId="345F80DD" w14:textId="38A7FB98" w:rsidR="001F5127" w:rsidRPr="002677F2" w:rsidRDefault="00D7770B" w:rsidP="006B6C13">
            <w:pPr>
              <w:spacing w:before="120" w:after="120"/>
              <w:rPr>
                <w:rFonts w:cs="Arial"/>
                <w:b/>
                <w:sz w:val="22"/>
                <w:szCs w:val="22"/>
              </w:rPr>
            </w:pPr>
            <w:r w:rsidRPr="007E324D">
              <w:lastRenderedPageBreak/>
              <w:br w:type="page"/>
            </w:r>
            <w:bookmarkStart w:id="6" w:name="SpecialConsiderations"/>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w:t>
            </w:r>
            <w:bookmarkEnd w:id="6"/>
            <w:r w:rsidR="002545E8" w:rsidRPr="007E324D">
              <w:rPr>
                <w:rFonts w:cs="Arial"/>
                <w:b/>
                <w:sz w:val="22"/>
                <w:szCs w:val="22"/>
              </w:rPr>
              <w:t xml:space="preserve">/ </w:t>
            </w:r>
            <w:bookmarkStart w:id="7" w:name="AdditionalInformation"/>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7"/>
          </w:p>
        </w:tc>
        <w:tc>
          <w:tcPr>
            <w:tcW w:w="6946" w:type="dxa"/>
            <w:shd w:val="clear" w:color="auto" w:fill="auto"/>
          </w:tcPr>
          <w:p w14:paraId="08DAA263" w14:textId="70D1A72A" w:rsidR="00C227B0" w:rsidRDefault="00EC3D92" w:rsidP="00EC3D92">
            <w:pPr>
              <w:pStyle w:val="Header"/>
              <w:tabs>
                <w:tab w:val="left" w:pos="720"/>
              </w:tabs>
              <w:spacing w:before="120" w:after="120"/>
              <w:rPr>
                <w:rFonts w:ascii="Arial" w:eastAsia="Arial" w:hAnsi="Arial" w:cs="Arial"/>
                <w:sz w:val="22"/>
                <w:szCs w:val="22"/>
              </w:rPr>
            </w:pPr>
            <w:r>
              <w:rPr>
                <w:rFonts w:ascii="Arial" w:eastAsia="Arial" w:hAnsi="Arial" w:cs="Arial"/>
                <w:sz w:val="22"/>
                <w:szCs w:val="22"/>
              </w:rPr>
              <w:t>Ensure there is i</w:t>
            </w:r>
            <w:r w:rsidRPr="001D3ADD">
              <w:rPr>
                <w:rFonts w:ascii="Arial" w:eastAsia="Arial" w:hAnsi="Arial" w:cs="Arial"/>
                <w:sz w:val="22"/>
                <w:szCs w:val="22"/>
              </w:rPr>
              <w:t>mmediate</w:t>
            </w:r>
            <w:r w:rsidRPr="001D3ADD">
              <w:rPr>
                <w:rFonts w:ascii="Arial" w:eastAsia="Arial" w:hAnsi="Arial" w:cs="Arial"/>
                <w:spacing w:val="17"/>
                <w:sz w:val="22"/>
                <w:szCs w:val="22"/>
              </w:rPr>
              <w:t xml:space="preserve"> </w:t>
            </w:r>
            <w:r w:rsidRPr="001D3ADD">
              <w:rPr>
                <w:rFonts w:ascii="Arial" w:eastAsia="Arial" w:hAnsi="Arial" w:cs="Arial"/>
                <w:sz w:val="22"/>
                <w:szCs w:val="22"/>
              </w:rPr>
              <w:t>access</w:t>
            </w:r>
            <w:r w:rsidRPr="001D3ADD">
              <w:rPr>
                <w:rFonts w:ascii="Arial" w:eastAsia="Arial" w:hAnsi="Arial" w:cs="Arial"/>
                <w:spacing w:val="14"/>
                <w:sz w:val="22"/>
                <w:szCs w:val="22"/>
              </w:rPr>
              <w:t xml:space="preserve"> </w:t>
            </w:r>
            <w:r w:rsidRPr="001D3ADD">
              <w:rPr>
                <w:rFonts w:ascii="Arial" w:eastAsia="Arial" w:hAnsi="Arial" w:cs="Arial"/>
                <w:sz w:val="22"/>
                <w:szCs w:val="22"/>
              </w:rPr>
              <w:t>to</w:t>
            </w:r>
            <w:r w:rsidRPr="001D3ADD">
              <w:rPr>
                <w:rFonts w:ascii="Arial" w:eastAsia="Arial" w:hAnsi="Arial" w:cs="Arial"/>
                <w:spacing w:val="21"/>
                <w:sz w:val="22"/>
                <w:szCs w:val="22"/>
              </w:rPr>
              <w:t xml:space="preserve"> </w:t>
            </w:r>
            <w:r>
              <w:rPr>
                <w:rFonts w:ascii="Arial" w:eastAsia="Arial" w:hAnsi="Arial" w:cs="Arial"/>
                <w:sz w:val="22"/>
                <w:szCs w:val="22"/>
              </w:rPr>
              <w:t>a</w:t>
            </w:r>
            <w:r w:rsidRPr="001D3ADD">
              <w:rPr>
                <w:rFonts w:ascii="Arial" w:eastAsia="Arial" w:hAnsi="Arial" w:cs="Arial"/>
                <w:sz w:val="22"/>
                <w:szCs w:val="22"/>
              </w:rPr>
              <w:t xml:space="preserve">drenaline </w:t>
            </w:r>
            <w:r>
              <w:rPr>
                <w:rFonts w:ascii="Arial" w:eastAsia="Arial" w:hAnsi="Arial" w:cs="Arial"/>
                <w:sz w:val="22"/>
                <w:szCs w:val="22"/>
              </w:rPr>
              <w:t>(e</w:t>
            </w:r>
            <w:r w:rsidRPr="001D3ADD">
              <w:rPr>
                <w:rFonts w:ascii="Arial" w:eastAsia="Arial" w:hAnsi="Arial" w:cs="Arial"/>
                <w:sz w:val="22"/>
                <w:szCs w:val="22"/>
              </w:rPr>
              <w:t>pinephrine</w:t>
            </w:r>
            <w:r>
              <w:rPr>
                <w:rFonts w:ascii="Arial" w:eastAsia="Arial" w:hAnsi="Arial" w:cs="Arial"/>
                <w:sz w:val="22"/>
                <w:szCs w:val="22"/>
              </w:rPr>
              <w:t>)</w:t>
            </w:r>
            <w:r w:rsidRPr="001D3ADD">
              <w:rPr>
                <w:rFonts w:ascii="Arial" w:eastAsia="Arial" w:hAnsi="Arial" w:cs="Arial"/>
                <w:spacing w:val="33"/>
                <w:sz w:val="22"/>
                <w:szCs w:val="22"/>
              </w:rPr>
              <w:t xml:space="preserve"> </w:t>
            </w:r>
            <w:r w:rsidRPr="001D3ADD">
              <w:rPr>
                <w:rFonts w:ascii="Arial" w:eastAsia="Arial" w:hAnsi="Arial" w:cs="Arial"/>
                <w:sz w:val="22"/>
                <w:szCs w:val="22"/>
              </w:rPr>
              <w:t>1</w:t>
            </w:r>
            <w:r w:rsidRPr="001D3ADD">
              <w:rPr>
                <w:rFonts w:ascii="Arial" w:eastAsia="Arial" w:hAnsi="Arial" w:cs="Arial"/>
                <w:spacing w:val="-10"/>
                <w:sz w:val="22"/>
                <w:szCs w:val="22"/>
              </w:rPr>
              <w:t xml:space="preserve"> </w:t>
            </w:r>
            <w:r w:rsidRPr="001D3ADD">
              <w:rPr>
                <w:rFonts w:ascii="Arial" w:eastAsia="Arial" w:hAnsi="Arial" w:cs="Arial"/>
                <w:sz w:val="22"/>
                <w:szCs w:val="22"/>
              </w:rPr>
              <w:t>in</w:t>
            </w:r>
            <w:r w:rsidRPr="001D3ADD">
              <w:rPr>
                <w:rFonts w:ascii="Arial" w:eastAsia="Arial" w:hAnsi="Arial" w:cs="Arial"/>
                <w:spacing w:val="17"/>
                <w:sz w:val="22"/>
                <w:szCs w:val="22"/>
              </w:rPr>
              <w:t xml:space="preserve"> </w:t>
            </w:r>
            <w:r w:rsidRPr="001D3ADD">
              <w:rPr>
                <w:rFonts w:ascii="Arial" w:eastAsia="Arial" w:hAnsi="Arial" w:cs="Arial"/>
                <w:sz w:val="22"/>
                <w:szCs w:val="22"/>
              </w:rPr>
              <w:t>1000</w:t>
            </w:r>
            <w:r w:rsidRPr="001D3ADD">
              <w:rPr>
                <w:rFonts w:ascii="Arial" w:eastAsia="Arial" w:hAnsi="Arial" w:cs="Arial"/>
                <w:spacing w:val="11"/>
                <w:sz w:val="22"/>
                <w:szCs w:val="22"/>
              </w:rPr>
              <w:t xml:space="preserve"> </w:t>
            </w:r>
            <w:r w:rsidRPr="001D3ADD">
              <w:rPr>
                <w:rFonts w:ascii="Arial" w:eastAsia="Arial" w:hAnsi="Arial" w:cs="Arial"/>
                <w:sz w:val="22"/>
                <w:szCs w:val="22"/>
              </w:rPr>
              <w:t>injection</w:t>
            </w:r>
            <w:r>
              <w:rPr>
                <w:rFonts w:ascii="Arial" w:eastAsia="Arial" w:hAnsi="Arial" w:cs="Arial"/>
                <w:sz w:val="22"/>
                <w:szCs w:val="22"/>
              </w:rPr>
              <w:t xml:space="preserve"> and a</w:t>
            </w:r>
            <w:r w:rsidRPr="001D3ADD">
              <w:rPr>
                <w:rFonts w:ascii="Arial" w:eastAsia="Arial" w:hAnsi="Arial" w:cs="Arial"/>
                <w:sz w:val="22"/>
                <w:szCs w:val="22"/>
              </w:rPr>
              <w:t>ccess</w:t>
            </w:r>
            <w:r w:rsidRPr="001D3ADD">
              <w:rPr>
                <w:rFonts w:ascii="Arial" w:eastAsia="Arial" w:hAnsi="Arial" w:cs="Arial"/>
                <w:spacing w:val="19"/>
                <w:sz w:val="22"/>
                <w:szCs w:val="22"/>
              </w:rPr>
              <w:t xml:space="preserve"> </w:t>
            </w:r>
            <w:r w:rsidRPr="001D3ADD">
              <w:rPr>
                <w:rFonts w:ascii="Arial" w:eastAsia="Arial" w:hAnsi="Arial" w:cs="Arial"/>
                <w:sz w:val="22"/>
                <w:szCs w:val="22"/>
              </w:rPr>
              <w:t>to</w:t>
            </w:r>
            <w:r w:rsidRPr="001D3ADD">
              <w:rPr>
                <w:rFonts w:ascii="Arial" w:eastAsia="Arial" w:hAnsi="Arial" w:cs="Arial"/>
                <w:spacing w:val="10"/>
                <w:sz w:val="22"/>
                <w:szCs w:val="22"/>
              </w:rPr>
              <w:t xml:space="preserve"> </w:t>
            </w:r>
            <w:r>
              <w:rPr>
                <w:rFonts w:ascii="Arial" w:eastAsia="Arial" w:hAnsi="Arial" w:cs="Arial"/>
                <w:spacing w:val="10"/>
                <w:sz w:val="22"/>
                <w:szCs w:val="22"/>
              </w:rPr>
              <w:t xml:space="preserve">a </w:t>
            </w:r>
            <w:r w:rsidRPr="001D3ADD">
              <w:rPr>
                <w:rFonts w:ascii="Arial" w:eastAsia="Arial" w:hAnsi="Arial" w:cs="Arial"/>
                <w:sz w:val="22"/>
                <w:szCs w:val="22"/>
              </w:rPr>
              <w:t>telephone.</w:t>
            </w:r>
          </w:p>
          <w:p w14:paraId="0E311114" w14:textId="39232F26" w:rsidR="00270CAB" w:rsidRDefault="00270CAB" w:rsidP="00EC3D92">
            <w:pPr>
              <w:pStyle w:val="Header"/>
              <w:tabs>
                <w:tab w:val="left" w:pos="720"/>
              </w:tabs>
              <w:spacing w:before="120" w:after="120"/>
              <w:rPr>
                <w:rFonts w:ascii="Arial" w:eastAsia="Arial" w:hAnsi="Arial" w:cs="Arial"/>
                <w:sz w:val="22"/>
                <w:szCs w:val="22"/>
              </w:rPr>
            </w:pPr>
            <w:r w:rsidRPr="00270CAB">
              <w:rPr>
                <w:rFonts w:ascii="Arial" w:eastAsia="Arial" w:hAnsi="Arial" w:cs="Arial"/>
                <w:sz w:val="22"/>
                <w:szCs w:val="22"/>
              </w:rPr>
              <w:t>Protective antibody titres to Vi antigen fall over time. Re-vaccination is necessary when continuing protection is required. Additional doses of Vi vaccine do not boost serum antibody levels; re-vaccination returns antibody levels to those achieved after the primary immunisation</w:t>
            </w:r>
            <w:r>
              <w:rPr>
                <w:rFonts w:ascii="Arial" w:eastAsia="Arial" w:hAnsi="Arial" w:cs="Arial"/>
                <w:sz w:val="22"/>
                <w:szCs w:val="22"/>
              </w:rPr>
              <w:t>.</w:t>
            </w:r>
            <w:r w:rsidR="004D6F98">
              <w:rPr>
                <w:rFonts w:ascii="Arial" w:eastAsia="Arial" w:hAnsi="Arial" w:cs="Arial"/>
                <w:sz w:val="22"/>
                <w:szCs w:val="22"/>
              </w:rPr>
              <w:t xml:space="preserve"> </w:t>
            </w:r>
          </w:p>
          <w:p w14:paraId="7F1B4E40" w14:textId="0A2638B2" w:rsidR="00270CAB" w:rsidRDefault="00270CAB" w:rsidP="00EC3D92">
            <w:pPr>
              <w:pStyle w:val="Header"/>
              <w:tabs>
                <w:tab w:val="left" w:pos="720"/>
              </w:tabs>
              <w:spacing w:before="120" w:after="120"/>
              <w:rPr>
                <w:rFonts w:ascii="Arial" w:eastAsia="Arial" w:hAnsi="Arial" w:cs="Arial"/>
                <w:sz w:val="22"/>
                <w:szCs w:val="22"/>
              </w:rPr>
            </w:pPr>
            <w:r w:rsidRPr="006B46EF">
              <w:rPr>
                <w:rFonts w:ascii="Arial" w:eastAsia="Arial" w:hAnsi="Arial" w:cs="Arial"/>
                <w:sz w:val="22"/>
                <w:szCs w:val="22"/>
              </w:rPr>
              <w:t>Non-conjugated polysaccharide vaccines are poorly immunogenic in infants and young children. There is little definitive data on the efficacy of Vi vaccine in children aged less than 18 months</w:t>
            </w:r>
            <w:r w:rsidR="006B46EF" w:rsidRPr="006B46EF">
              <w:rPr>
                <w:rFonts w:ascii="Arial" w:eastAsia="Arial" w:hAnsi="Arial" w:cs="Arial"/>
                <w:sz w:val="22"/>
                <w:szCs w:val="22"/>
              </w:rPr>
              <w:t>.</w:t>
            </w:r>
          </w:p>
          <w:p w14:paraId="68BAC779" w14:textId="77777777" w:rsidR="00B57E51" w:rsidRDefault="00B57E51" w:rsidP="00BA03CD">
            <w:pPr>
              <w:pStyle w:val="CommentText"/>
              <w:spacing w:after="120"/>
              <w:rPr>
                <w:rFonts w:eastAsia="Arial" w:cs="Arial"/>
                <w:sz w:val="22"/>
                <w:szCs w:val="22"/>
              </w:rPr>
            </w:pPr>
            <w:r w:rsidRPr="00B57E51">
              <w:rPr>
                <w:rFonts w:eastAsia="Arial" w:cs="Arial"/>
                <w:sz w:val="22"/>
                <w:szCs w:val="22"/>
              </w:rPr>
              <w:t xml:space="preserve">There is no evidence of risk from vaccinating pregnant women or those who are breast feeding with inactivated vaccines. Since </w:t>
            </w:r>
            <w:r w:rsidR="00BA03CD">
              <w:rPr>
                <w:rFonts w:eastAsia="Arial" w:cs="Arial"/>
                <w:sz w:val="22"/>
                <w:szCs w:val="22"/>
              </w:rPr>
              <w:t>typhoid polysaccharide</w:t>
            </w:r>
            <w:r w:rsidR="00575E7A">
              <w:rPr>
                <w:rFonts w:eastAsia="Arial" w:cs="Arial"/>
                <w:sz w:val="22"/>
                <w:szCs w:val="22"/>
              </w:rPr>
              <w:t xml:space="preserve"> vaccine</w:t>
            </w:r>
            <w:r w:rsidRPr="00B57E51">
              <w:rPr>
                <w:rFonts w:eastAsia="Arial" w:cs="Arial"/>
                <w:sz w:val="22"/>
                <w:szCs w:val="22"/>
              </w:rPr>
              <w:t xml:space="preserve"> is an inactivated </w:t>
            </w:r>
            <w:r w:rsidR="00BA03CD">
              <w:rPr>
                <w:rFonts w:eastAsia="Arial" w:cs="Arial"/>
                <w:sz w:val="22"/>
                <w:szCs w:val="22"/>
              </w:rPr>
              <w:t xml:space="preserve">(subunit) </w:t>
            </w:r>
            <w:r w:rsidRPr="00B57E51">
              <w:rPr>
                <w:rFonts w:eastAsia="Arial" w:cs="Arial"/>
                <w:sz w:val="22"/>
                <w:szCs w:val="22"/>
              </w:rPr>
              <w:t>vaccine, the risks to the foetus are negligible and it should be given where there is a definite risk of infection.</w:t>
            </w:r>
          </w:p>
          <w:p w14:paraId="04AD474D" w14:textId="7B75F510" w:rsidR="00270CAB" w:rsidRPr="00B57E51" w:rsidRDefault="00270CAB" w:rsidP="00BA03CD">
            <w:pPr>
              <w:pStyle w:val="CommentText"/>
              <w:spacing w:after="120"/>
              <w:rPr>
                <w:rFonts w:cs="Arial"/>
                <w:sz w:val="22"/>
                <w:szCs w:val="22"/>
                <w:lang w:val="en"/>
              </w:rPr>
            </w:pPr>
            <w:r w:rsidRPr="006B46EF">
              <w:rPr>
                <w:rFonts w:eastAsia="Arial" w:cs="Arial"/>
                <w:sz w:val="22"/>
                <w:szCs w:val="22"/>
              </w:rPr>
              <w:t xml:space="preserve">Local </w:t>
            </w:r>
            <w:r w:rsidR="00F404E1">
              <w:rPr>
                <w:rFonts w:eastAsia="Arial" w:cs="Arial"/>
                <w:sz w:val="22"/>
                <w:szCs w:val="22"/>
              </w:rPr>
              <w:t>H</w:t>
            </w:r>
            <w:r w:rsidRPr="006B46EF">
              <w:rPr>
                <w:rFonts w:eastAsia="Arial" w:cs="Arial"/>
                <w:sz w:val="22"/>
                <w:szCs w:val="22"/>
              </w:rPr>
              <w:t xml:space="preserve">ealth </w:t>
            </w:r>
            <w:r w:rsidR="00F404E1">
              <w:rPr>
                <w:rFonts w:eastAsia="Arial" w:cs="Arial"/>
                <w:sz w:val="22"/>
                <w:szCs w:val="22"/>
              </w:rPr>
              <w:t>P</w:t>
            </w:r>
            <w:r w:rsidRPr="006B46EF">
              <w:rPr>
                <w:rFonts w:eastAsia="Arial" w:cs="Arial"/>
                <w:sz w:val="22"/>
                <w:szCs w:val="22"/>
              </w:rPr>
              <w:t xml:space="preserve">rotection </w:t>
            </w:r>
            <w:r w:rsidR="00F404E1">
              <w:rPr>
                <w:rFonts w:eastAsia="Arial" w:cs="Arial"/>
                <w:sz w:val="22"/>
                <w:szCs w:val="22"/>
              </w:rPr>
              <w:t>Team</w:t>
            </w:r>
            <w:r w:rsidRPr="006B46EF">
              <w:rPr>
                <w:rFonts w:eastAsia="Arial" w:cs="Arial"/>
                <w:sz w:val="22"/>
                <w:szCs w:val="22"/>
              </w:rPr>
              <w:t xml:space="preserve"> (HP</w:t>
            </w:r>
            <w:r w:rsidR="00F404E1">
              <w:rPr>
                <w:rFonts w:eastAsia="Arial" w:cs="Arial"/>
                <w:sz w:val="22"/>
                <w:szCs w:val="22"/>
              </w:rPr>
              <w:t>T</w:t>
            </w:r>
            <w:r w:rsidRPr="006B46EF">
              <w:rPr>
                <w:rFonts w:eastAsia="Arial" w:cs="Arial"/>
                <w:sz w:val="22"/>
                <w:szCs w:val="22"/>
              </w:rPr>
              <w:t xml:space="preserve">) should be informed immediately whenever a patient is suspected of having typhoid fever. Typhoid vaccine is not recommended for close contacts of either cases or carriers, or during an outbreak of typhoid fever in the UK. Both cases and carriers of </w:t>
            </w:r>
            <w:r w:rsidRPr="006B46EF">
              <w:rPr>
                <w:rFonts w:eastAsia="Arial" w:cs="Arial"/>
                <w:i/>
                <w:sz w:val="22"/>
                <w:szCs w:val="22"/>
              </w:rPr>
              <w:t>S. typhi</w:t>
            </w:r>
            <w:r w:rsidRPr="006B46EF">
              <w:rPr>
                <w:rFonts w:eastAsia="Arial" w:cs="Arial"/>
                <w:sz w:val="22"/>
                <w:szCs w:val="22"/>
              </w:rPr>
              <w:t xml:space="preserve"> should be advised to be scrupulous in their hygiene practices. Carriers should be referred for specialist clinical management.</w:t>
            </w:r>
          </w:p>
        </w:tc>
      </w:tr>
      <w:tr w:rsidR="00A956FD" w:rsidRPr="00A956FD" w14:paraId="6C80C670" w14:textId="77777777" w:rsidTr="0087180E">
        <w:tc>
          <w:tcPr>
            <w:tcW w:w="2977" w:type="dxa"/>
          </w:tcPr>
          <w:p w14:paraId="730DA297" w14:textId="0861C269" w:rsidR="002545E8" w:rsidRDefault="002545E8" w:rsidP="007E045E">
            <w:pPr>
              <w:spacing w:before="120" w:after="120"/>
              <w:rPr>
                <w:rFonts w:cs="Arial"/>
                <w:b/>
                <w:sz w:val="22"/>
                <w:szCs w:val="22"/>
              </w:rPr>
            </w:pPr>
            <w:r w:rsidRPr="00A60816">
              <w:rPr>
                <w:rFonts w:cs="Arial"/>
                <w:b/>
                <w:sz w:val="22"/>
                <w:szCs w:val="22"/>
              </w:rPr>
              <w:t>Records</w:t>
            </w:r>
          </w:p>
          <w:p w14:paraId="6D2382A0" w14:textId="77777777" w:rsidR="00087D03" w:rsidRDefault="00087D03" w:rsidP="007E045E">
            <w:pPr>
              <w:spacing w:before="120" w:after="120"/>
              <w:rPr>
                <w:rFonts w:cs="Arial"/>
                <w:b/>
                <w:sz w:val="22"/>
                <w:szCs w:val="22"/>
              </w:rPr>
            </w:pPr>
          </w:p>
          <w:p w14:paraId="06571310" w14:textId="77777777" w:rsidR="00087D03" w:rsidRDefault="00087D03" w:rsidP="007E045E">
            <w:pPr>
              <w:spacing w:before="120" w:after="120"/>
              <w:rPr>
                <w:rFonts w:cs="Arial"/>
                <w:b/>
                <w:sz w:val="22"/>
                <w:szCs w:val="22"/>
              </w:rPr>
            </w:pPr>
          </w:p>
          <w:p w14:paraId="558305AF" w14:textId="77777777" w:rsidR="00087D03" w:rsidRDefault="00087D03" w:rsidP="007E045E">
            <w:pPr>
              <w:spacing w:before="120" w:after="120"/>
              <w:rPr>
                <w:rFonts w:cs="Arial"/>
                <w:b/>
                <w:sz w:val="22"/>
                <w:szCs w:val="22"/>
              </w:rPr>
            </w:pPr>
          </w:p>
          <w:p w14:paraId="1E7DDF3F" w14:textId="77777777" w:rsidR="00087D03" w:rsidRDefault="00087D03" w:rsidP="007E045E">
            <w:pPr>
              <w:spacing w:before="120" w:after="120"/>
              <w:rPr>
                <w:rFonts w:cs="Arial"/>
                <w:b/>
                <w:sz w:val="22"/>
                <w:szCs w:val="22"/>
              </w:rPr>
            </w:pPr>
          </w:p>
          <w:p w14:paraId="5DEA311A" w14:textId="77777777" w:rsidR="00087D03" w:rsidRDefault="00087D03" w:rsidP="007E045E">
            <w:pPr>
              <w:spacing w:before="120" w:after="120"/>
              <w:rPr>
                <w:rFonts w:cs="Arial"/>
                <w:b/>
                <w:sz w:val="22"/>
                <w:szCs w:val="22"/>
              </w:rPr>
            </w:pPr>
          </w:p>
          <w:p w14:paraId="7C6A9BA4" w14:textId="77777777" w:rsidR="00087D03" w:rsidRDefault="00087D03" w:rsidP="007E045E">
            <w:pPr>
              <w:spacing w:before="120" w:after="120"/>
              <w:rPr>
                <w:rFonts w:cs="Arial"/>
                <w:b/>
                <w:sz w:val="22"/>
                <w:szCs w:val="22"/>
              </w:rPr>
            </w:pPr>
          </w:p>
          <w:p w14:paraId="20E1E3AF" w14:textId="77777777" w:rsidR="00087D03" w:rsidRDefault="00087D03" w:rsidP="007E045E">
            <w:pPr>
              <w:spacing w:before="120" w:after="120"/>
              <w:rPr>
                <w:rFonts w:cs="Arial"/>
                <w:b/>
                <w:sz w:val="22"/>
                <w:szCs w:val="22"/>
              </w:rPr>
            </w:pPr>
          </w:p>
          <w:p w14:paraId="14E862DB" w14:textId="77777777" w:rsidR="00087D03" w:rsidRDefault="00087D03" w:rsidP="007E045E">
            <w:pPr>
              <w:spacing w:before="120" w:after="120"/>
              <w:rPr>
                <w:rFonts w:cs="Arial"/>
                <w:b/>
                <w:sz w:val="22"/>
                <w:szCs w:val="22"/>
              </w:rPr>
            </w:pPr>
          </w:p>
          <w:p w14:paraId="1F1E6DB1" w14:textId="02D2C865" w:rsidR="00087D03" w:rsidRPr="00087D03" w:rsidRDefault="00087D03" w:rsidP="007E045E">
            <w:pPr>
              <w:spacing w:before="120" w:after="120"/>
              <w:contextualSpacing/>
              <w:rPr>
                <w:rFonts w:cs="Arial"/>
                <w:sz w:val="22"/>
                <w:szCs w:val="22"/>
              </w:rPr>
            </w:pPr>
          </w:p>
        </w:tc>
        <w:tc>
          <w:tcPr>
            <w:tcW w:w="6946" w:type="dxa"/>
          </w:tcPr>
          <w:p w14:paraId="380FE72E" w14:textId="77777777" w:rsidR="000D46BA" w:rsidRPr="00340725" w:rsidRDefault="000D46BA" w:rsidP="000D46BA">
            <w:pPr>
              <w:overflowPunct/>
              <w:autoSpaceDE/>
              <w:autoSpaceDN/>
              <w:adjustRightInd/>
              <w:spacing w:before="120"/>
              <w:ind w:left="34"/>
              <w:textAlignment w:val="auto"/>
              <w:rPr>
                <w:rFonts w:cs="Arial"/>
                <w:sz w:val="22"/>
                <w:szCs w:val="22"/>
              </w:rPr>
            </w:pPr>
            <w:r w:rsidRPr="00340725">
              <w:rPr>
                <w:rFonts w:cs="Arial"/>
                <w:sz w:val="22"/>
                <w:szCs w:val="22"/>
              </w:rPr>
              <w:t xml:space="preserve">Record: </w:t>
            </w:r>
          </w:p>
          <w:p w14:paraId="5524B098"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that valid informed consent was given</w:t>
            </w:r>
          </w:p>
          <w:p w14:paraId="7B978BBC"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of individual, address, date of birth and GP with whom the individual is registered</w:t>
            </w:r>
          </w:p>
          <w:p w14:paraId="7FD8A74D"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of immuniser</w:t>
            </w:r>
          </w:p>
          <w:p w14:paraId="3597267D"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and brand of vaccine</w:t>
            </w:r>
          </w:p>
          <w:p w14:paraId="02AC6A72"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date of administration</w:t>
            </w:r>
          </w:p>
          <w:p w14:paraId="2B7C5382"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dose, form and route of administration of vaccine</w:t>
            </w:r>
          </w:p>
          <w:p w14:paraId="5B9C6FA1"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quantity administered</w:t>
            </w:r>
          </w:p>
          <w:p w14:paraId="1B735652"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batch number and expiry date</w:t>
            </w:r>
          </w:p>
          <w:p w14:paraId="32C351AB"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anatomical site of vaccination</w:t>
            </w:r>
          </w:p>
          <w:p w14:paraId="0A20EAB6"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advice given, including advice given if excluded or declines immunisation</w:t>
            </w:r>
          </w:p>
          <w:p w14:paraId="2BD8F693" w14:textId="7E2987DC" w:rsidR="000D46BA" w:rsidRPr="00340725" w:rsidRDefault="000D46BA" w:rsidP="000545F3">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details of any adverse drug reactions and actions taken</w:t>
            </w:r>
          </w:p>
          <w:p w14:paraId="3D78308E" w14:textId="77777777" w:rsidR="000D46BA" w:rsidRPr="00340725" w:rsidRDefault="000D46BA" w:rsidP="000545F3">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340725">
              <w:rPr>
                <w:rFonts w:cs="Arial"/>
                <w:sz w:val="22"/>
                <w:szCs w:val="22"/>
              </w:rPr>
              <w:t>supplied via Patient Group Direction (PGD)</w:t>
            </w:r>
          </w:p>
          <w:p w14:paraId="46EB988B" w14:textId="77777777" w:rsidR="000D46BA" w:rsidRPr="00340725" w:rsidRDefault="000D46BA" w:rsidP="000D46BA">
            <w:pPr>
              <w:overflowPunct/>
              <w:autoSpaceDE/>
              <w:autoSpaceDN/>
              <w:adjustRightInd/>
              <w:spacing w:before="120" w:after="120"/>
              <w:textAlignment w:val="auto"/>
              <w:rPr>
                <w:rFonts w:cs="Arial"/>
                <w:sz w:val="22"/>
                <w:szCs w:val="22"/>
              </w:rPr>
            </w:pPr>
            <w:r w:rsidRPr="00340725">
              <w:rPr>
                <w:rFonts w:cs="Arial"/>
                <w:sz w:val="22"/>
                <w:szCs w:val="22"/>
              </w:rPr>
              <w:t xml:space="preserve">Records should be signed and dated (or a password controlled immunisers record on e-records). </w:t>
            </w:r>
          </w:p>
          <w:p w14:paraId="5747E7FC" w14:textId="77777777" w:rsidR="000D46BA" w:rsidRPr="00340725" w:rsidRDefault="000D46BA" w:rsidP="000D46BA">
            <w:pPr>
              <w:spacing w:before="120" w:after="120"/>
              <w:rPr>
                <w:rFonts w:eastAsia="Arial" w:cs="Arial"/>
                <w:sz w:val="22"/>
                <w:szCs w:val="22"/>
              </w:rPr>
            </w:pPr>
            <w:r w:rsidRPr="00340725">
              <w:rPr>
                <w:rFonts w:eastAsia="Arial" w:cs="Arial"/>
                <w:sz w:val="22"/>
                <w:szCs w:val="22"/>
              </w:rPr>
              <w:t>All records should be clear, legible and contemporaneous.</w:t>
            </w:r>
          </w:p>
          <w:p w14:paraId="5A602F42" w14:textId="51D72B78" w:rsidR="00421D80" w:rsidRPr="00340725" w:rsidRDefault="00421D80" w:rsidP="0042574E">
            <w:pPr>
              <w:spacing w:before="120" w:after="120"/>
              <w:rPr>
                <w:rFonts w:eastAsia="Arial" w:cs="Arial"/>
                <w:sz w:val="22"/>
                <w:szCs w:val="22"/>
              </w:rPr>
            </w:pPr>
            <w:r w:rsidRPr="00340725">
              <w:rPr>
                <w:rFonts w:eastAsia="Arial" w:cs="Arial"/>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14:paraId="292E33AA" w14:textId="18D42C24" w:rsidR="002545E8" w:rsidRPr="00340725" w:rsidRDefault="000D46BA" w:rsidP="00364359">
            <w:pPr>
              <w:overflowPunct/>
              <w:spacing w:after="120"/>
              <w:textAlignment w:val="auto"/>
              <w:rPr>
                <w:rFonts w:eastAsiaTheme="minorHAnsi" w:cs="Arial"/>
                <w:color w:val="FF0000"/>
                <w:sz w:val="22"/>
                <w:szCs w:val="22"/>
                <w:lang w:eastAsia="en-US"/>
              </w:rPr>
            </w:pPr>
            <w:r w:rsidRPr="00340725">
              <w:rPr>
                <w:rFonts w:eastAsia="Arial" w:cs="Arial"/>
                <w:sz w:val="22"/>
                <w:szCs w:val="22"/>
              </w:rPr>
              <w:t>A record of all individuals receiving treatment under this PGD should also be kept for audit purposes in accordance with local policy.</w:t>
            </w:r>
          </w:p>
        </w:tc>
      </w:tr>
    </w:tbl>
    <w:p w14:paraId="093C505F" w14:textId="77777777" w:rsidR="00701A3B" w:rsidRDefault="00701A3B" w:rsidP="00701A3B">
      <w:pPr>
        <w:pStyle w:val="ListParagraph"/>
        <w:rPr>
          <w:rFonts w:cs="Arial"/>
          <w:b/>
          <w:szCs w:val="24"/>
        </w:rPr>
      </w:pPr>
    </w:p>
    <w:p w14:paraId="6ADD7EB6" w14:textId="77777777" w:rsidR="00701A3B" w:rsidRDefault="00701A3B">
      <w:pPr>
        <w:overflowPunct/>
        <w:autoSpaceDE/>
        <w:autoSpaceDN/>
        <w:adjustRightInd/>
        <w:jc w:val="center"/>
        <w:textAlignment w:val="auto"/>
        <w:rPr>
          <w:rFonts w:cs="Arial"/>
          <w:b/>
          <w:szCs w:val="24"/>
        </w:rPr>
      </w:pPr>
      <w:r>
        <w:rPr>
          <w:rFonts w:cs="Arial"/>
          <w:b/>
          <w:szCs w:val="24"/>
        </w:rPr>
        <w:br w:type="page"/>
      </w:r>
    </w:p>
    <w:p w14:paraId="0066A1EB" w14:textId="69E3FFE9" w:rsidR="00B26D99" w:rsidRPr="00C16B9B" w:rsidRDefault="00B26D99" w:rsidP="00C16B9B">
      <w:pPr>
        <w:pStyle w:val="ListParagraph"/>
        <w:numPr>
          <w:ilvl w:val="0"/>
          <w:numId w:val="3"/>
        </w:numPr>
        <w:rPr>
          <w:rFonts w:cs="Arial"/>
          <w:b/>
          <w:szCs w:val="24"/>
        </w:rPr>
      </w:pPr>
      <w:r w:rsidRPr="00C16B9B">
        <w:rPr>
          <w:rFonts w:cs="Arial"/>
          <w:b/>
          <w:szCs w:val="24"/>
        </w:rPr>
        <w:lastRenderedPageBreak/>
        <w:t xml:space="preserve">Key </w:t>
      </w:r>
      <w:r w:rsidR="00D36470" w:rsidRPr="00C16B9B">
        <w:rPr>
          <w:rFonts w:cs="Arial"/>
          <w:b/>
          <w:szCs w:val="24"/>
        </w:rPr>
        <w:t>r</w:t>
      </w:r>
      <w:r w:rsidRPr="00C16B9B">
        <w:rPr>
          <w:rFonts w:cs="Arial"/>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7EC75AFD"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66E83170" w14:textId="77777777" w:rsidR="008519B2" w:rsidRDefault="008519B2" w:rsidP="00000A1D">
            <w:pPr>
              <w:spacing w:before="120" w:after="120"/>
              <w:rPr>
                <w:rFonts w:cs="Arial"/>
                <w:b/>
                <w:sz w:val="22"/>
                <w:szCs w:val="22"/>
              </w:rPr>
            </w:pPr>
          </w:p>
          <w:p w14:paraId="74BD8B79" w14:textId="77777777" w:rsidR="008519B2" w:rsidRDefault="008519B2" w:rsidP="00000A1D">
            <w:pPr>
              <w:spacing w:before="120" w:after="120"/>
              <w:rPr>
                <w:rFonts w:cs="Arial"/>
                <w:b/>
                <w:sz w:val="22"/>
                <w:szCs w:val="22"/>
              </w:rPr>
            </w:pPr>
          </w:p>
          <w:p w14:paraId="269C8F7A" w14:textId="77777777" w:rsidR="008519B2" w:rsidRDefault="008519B2" w:rsidP="00000A1D">
            <w:pPr>
              <w:spacing w:before="120" w:after="120"/>
              <w:rPr>
                <w:rFonts w:cs="Arial"/>
                <w:b/>
                <w:sz w:val="22"/>
                <w:szCs w:val="22"/>
              </w:rPr>
            </w:pPr>
          </w:p>
          <w:p w14:paraId="5F391229" w14:textId="77777777" w:rsidR="008519B2" w:rsidRDefault="008519B2" w:rsidP="00000A1D">
            <w:pPr>
              <w:spacing w:before="120" w:after="120"/>
              <w:rPr>
                <w:rFonts w:cs="Arial"/>
                <w:b/>
                <w:sz w:val="22"/>
                <w:szCs w:val="22"/>
              </w:rPr>
            </w:pPr>
          </w:p>
          <w:p w14:paraId="2B7A9CBE" w14:textId="77777777" w:rsidR="008519B2" w:rsidRDefault="008519B2" w:rsidP="00000A1D">
            <w:pPr>
              <w:spacing w:before="120" w:after="120"/>
              <w:rPr>
                <w:rFonts w:cs="Arial"/>
                <w:b/>
                <w:sz w:val="22"/>
                <w:szCs w:val="22"/>
              </w:rPr>
            </w:pPr>
          </w:p>
          <w:p w14:paraId="19DBE371" w14:textId="77777777" w:rsidR="008519B2" w:rsidRDefault="008519B2" w:rsidP="00000A1D">
            <w:pPr>
              <w:spacing w:before="120" w:after="120"/>
              <w:rPr>
                <w:rFonts w:cs="Arial"/>
                <w:b/>
                <w:sz w:val="22"/>
                <w:szCs w:val="22"/>
              </w:rPr>
            </w:pPr>
          </w:p>
          <w:p w14:paraId="23B1254B" w14:textId="77777777" w:rsidR="008519B2" w:rsidRDefault="008519B2" w:rsidP="00000A1D">
            <w:pPr>
              <w:spacing w:before="120" w:after="120"/>
              <w:rPr>
                <w:rFonts w:cs="Arial"/>
                <w:b/>
                <w:sz w:val="22"/>
                <w:szCs w:val="22"/>
              </w:rPr>
            </w:pPr>
          </w:p>
          <w:p w14:paraId="5DF06D69" w14:textId="77777777" w:rsidR="008519B2" w:rsidRDefault="008519B2" w:rsidP="00000A1D">
            <w:pPr>
              <w:spacing w:before="120" w:after="120"/>
              <w:rPr>
                <w:rFonts w:cs="Arial"/>
                <w:b/>
                <w:sz w:val="22"/>
                <w:szCs w:val="22"/>
              </w:rPr>
            </w:pPr>
          </w:p>
          <w:p w14:paraId="6BA233B4" w14:textId="77777777" w:rsidR="008519B2" w:rsidRDefault="008519B2" w:rsidP="00000A1D">
            <w:pPr>
              <w:spacing w:before="120" w:after="120"/>
              <w:rPr>
                <w:rFonts w:cs="Arial"/>
                <w:b/>
                <w:sz w:val="22"/>
                <w:szCs w:val="22"/>
              </w:rPr>
            </w:pPr>
          </w:p>
          <w:p w14:paraId="48A66312" w14:textId="77777777" w:rsidR="008519B2" w:rsidRDefault="008519B2" w:rsidP="00000A1D">
            <w:pPr>
              <w:spacing w:before="120" w:after="120"/>
              <w:rPr>
                <w:rFonts w:cs="Arial"/>
                <w:b/>
                <w:sz w:val="22"/>
                <w:szCs w:val="22"/>
              </w:rPr>
            </w:pPr>
          </w:p>
          <w:p w14:paraId="32338BEC" w14:textId="77777777" w:rsidR="008519B2" w:rsidRDefault="008519B2" w:rsidP="00000A1D">
            <w:pPr>
              <w:spacing w:before="120" w:after="120"/>
              <w:rPr>
                <w:rFonts w:cs="Arial"/>
                <w:b/>
                <w:sz w:val="22"/>
                <w:szCs w:val="22"/>
              </w:rPr>
            </w:pPr>
          </w:p>
          <w:p w14:paraId="7E8BA32A" w14:textId="77777777" w:rsidR="008519B2" w:rsidRDefault="008519B2" w:rsidP="00000A1D">
            <w:pPr>
              <w:spacing w:before="120" w:after="120"/>
              <w:rPr>
                <w:rFonts w:cs="Arial"/>
                <w:b/>
                <w:sz w:val="22"/>
                <w:szCs w:val="22"/>
              </w:rPr>
            </w:pPr>
          </w:p>
          <w:p w14:paraId="4DFF7892" w14:textId="77777777" w:rsidR="008519B2" w:rsidRDefault="008519B2" w:rsidP="00000A1D">
            <w:pPr>
              <w:spacing w:before="120" w:after="120"/>
              <w:rPr>
                <w:rFonts w:cs="Arial"/>
                <w:b/>
                <w:sz w:val="22"/>
                <w:szCs w:val="22"/>
              </w:rPr>
            </w:pPr>
          </w:p>
          <w:p w14:paraId="5CC14BAF" w14:textId="77777777" w:rsidR="008519B2" w:rsidRDefault="008519B2" w:rsidP="00000A1D">
            <w:pPr>
              <w:spacing w:before="120" w:after="120"/>
              <w:rPr>
                <w:rFonts w:cs="Arial"/>
                <w:b/>
                <w:sz w:val="22"/>
                <w:szCs w:val="22"/>
              </w:rPr>
            </w:pPr>
          </w:p>
          <w:p w14:paraId="7E815FD2" w14:textId="77777777" w:rsidR="008519B2" w:rsidRDefault="008519B2" w:rsidP="00000A1D">
            <w:pPr>
              <w:spacing w:before="120" w:after="120"/>
              <w:rPr>
                <w:rFonts w:cs="Arial"/>
                <w:b/>
                <w:sz w:val="22"/>
                <w:szCs w:val="22"/>
              </w:rPr>
            </w:pPr>
          </w:p>
          <w:p w14:paraId="44460708" w14:textId="77777777" w:rsidR="008519B2" w:rsidRDefault="008519B2" w:rsidP="00000A1D">
            <w:pPr>
              <w:spacing w:before="120" w:after="120"/>
              <w:rPr>
                <w:rFonts w:cs="Arial"/>
                <w:b/>
                <w:sz w:val="22"/>
                <w:szCs w:val="22"/>
              </w:rPr>
            </w:pPr>
          </w:p>
          <w:p w14:paraId="4D888E9B" w14:textId="77777777" w:rsidR="008519B2" w:rsidRDefault="008519B2" w:rsidP="00000A1D">
            <w:pPr>
              <w:spacing w:before="120" w:after="120"/>
              <w:rPr>
                <w:rFonts w:cs="Arial"/>
                <w:b/>
                <w:sz w:val="22"/>
                <w:szCs w:val="22"/>
              </w:rPr>
            </w:pPr>
          </w:p>
          <w:p w14:paraId="0AD39BD7" w14:textId="77777777" w:rsidR="008519B2" w:rsidRDefault="008519B2" w:rsidP="00000A1D">
            <w:pPr>
              <w:spacing w:before="120" w:after="120"/>
              <w:rPr>
                <w:rFonts w:cs="Arial"/>
                <w:b/>
                <w:sz w:val="22"/>
                <w:szCs w:val="22"/>
              </w:rPr>
            </w:pPr>
          </w:p>
          <w:p w14:paraId="730E3E2D" w14:textId="77777777" w:rsidR="008519B2" w:rsidRDefault="008519B2" w:rsidP="00000A1D">
            <w:pPr>
              <w:spacing w:before="120" w:after="120"/>
              <w:rPr>
                <w:rFonts w:cs="Arial"/>
                <w:b/>
                <w:sz w:val="22"/>
                <w:szCs w:val="22"/>
              </w:rPr>
            </w:pPr>
          </w:p>
          <w:p w14:paraId="04743199" w14:textId="77777777" w:rsidR="008519B2" w:rsidRDefault="008519B2" w:rsidP="00000A1D">
            <w:pPr>
              <w:spacing w:before="120" w:after="120"/>
              <w:rPr>
                <w:rFonts w:cs="Arial"/>
                <w:b/>
                <w:sz w:val="22"/>
                <w:szCs w:val="22"/>
              </w:rPr>
            </w:pPr>
          </w:p>
          <w:p w14:paraId="789F67C3" w14:textId="77777777" w:rsidR="008519B2" w:rsidRDefault="008519B2" w:rsidP="00000A1D">
            <w:pPr>
              <w:spacing w:before="120" w:after="120"/>
              <w:rPr>
                <w:rFonts w:cs="Arial"/>
                <w:b/>
                <w:sz w:val="22"/>
                <w:szCs w:val="22"/>
              </w:rPr>
            </w:pPr>
          </w:p>
          <w:p w14:paraId="165C91FD" w14:textId="77777777" w:rsidR="008519B2" w:rsidRDefault="008519B2" w:rsidP="00000A1D">
            <w:pPr>
              <w:spacing w:before="120" w:after="120"/>
              <w:rPr>
                <w:rFonts w:cs="Arial"/>
                <w:b/>
                <w:sz w:val="22"/>
                <w:szCs w:val="22"/>
              </w:rPr>
            </w:pPr>
          </w:p>
          <w:p w14:paraId="78594AFB" w14:textId="77777777" w:rsidR="008519B2" w:rsidRDefault="008519B2" w:rsidP="00000A1D">
            <w:pPr>
              <w:spacing w:before="120" w:after="120"/>
              <w:rPr>
                <w:rFonts w:cs="Arial"/>
                <w:b/>
                <w:sz w:val="22"/>
                <w:szCs w:val="22"/>
              </w:rPr>
            </w:pPr>
          </w:p>
          <w:p w14:paraId="149E889B" w14:textId="77777777" w:rsidR="008519B2" w:rsidRDefault="008519B2" w:rsidP="00000A1D">
            <w:pPr>
              <w:spacing w:before="120" w:after="120"/>
              <w:rPr>
                <w:rFonts w:cs="Arial"/>
                <w:b/>
                <w:sz w:val="22"/>
                <w:szCs w:val="22"/>
              </w:rPr>
            </w:pPr>
          </w:p>
          <w:p w14:paraId="20EB5AE2" w14:textId="77777777" w:rsidR="008519B2" w:rsidRDefault="008519B2" w:rsidP="00000A1D">
            <w:pPr>
              <w:spacing w:before="120" w:after="120"/>
              <w:rPr>
                <w:rFonts w:cs="Arial"/>
                <w:b/>
                <w:sz w:val="22"/>
                <w:szCs w:val="22"/>
              </w:rPr>
            </w:pPr>
          </w:p>
          <w:p w14:paraId="000A48E7" w14:textId="77777777" w:rsidR="008519B2" w:rsidRDefault="008519B2" w:rsidP="00000A1D">
            <w:pPr>
              <w:spacing w:before="120" w:after="120"/>
              <w:rPr>
                <w:rFonts w:cs="Arial"/>
                <w:b/>
                <w:sz w:val="22"/>
                <w:szCs w:val="22"/>
              </w:rPr>
            </w:pPr>
          </w:p>
          <w:p w14:paraId="259B6D42" w14:textId="77777777" w:rsidR="008519B2" w:rsidRDefault="008519B2" w:rsidP="00000A1D">
            <w:pPr>
              <w:spacing w:before="120" w:after="120"/>
              <w:rPr>
                <w:rFonts w:cs="Arial"/>
                <w:b/>
                <w:sz w:val="22"/>
                <w:szCs w:val="22"/>
              </w:rPr>
            </w:pPr>
          </w:p>
          <w:p w14:paraId="4E04B305" w14:textId="5A27AB91" w:rsidR="008519B2" w:rsidRPr="00A956FD" w:rsidRDefault="008519B2" w:rsidP="004D6513">
            <w:pPr>
              <w:spacing w:before="120" w:after="120"/>
              <w:contextualSpacing/>
              <w:rPr>
                <w:rFonts w:cs="Arial"/>
                <w:b/>
                <w:color w:val="FF0000"/>
                <w:sz w:val="22"/>
                <w:szCs w:val="22"/>
              </w:rPr>
            </w:pPr>
          </w:p>
        </w:tc>
        <w:tc>
          <w:tcPr>
            <w:tcW w:w="7088" w:type="dxa"/>
          </w:tcPr>
          <w:p w14:paraId="39C18B4E" w14:textId="450A16B0" w:rsidR="000D46BA" w:rsidRPr="00607562" w:rsidRDefault="000D46BA" w:rsidP="007D60BE">
            <w:pPr>
              <w:overflowPunct/>
              <w:spacing w:before="120" w:after="60"/>
              <w:textAlignment w:val="auto"/>
              <w:rPr>
                <w:rFonts w:eastAsiaTheme="minorHAnsi" w:cs="Arial"/>
                <w:b/>
                <w:bCs/>
                <w:sz w:val="22"/>
                <w:szCs w:val="22"/>
                <w:lang w:eastAsia="en-US"/>
              </w:rPr>
            </w:pPr>
            <w:r w:rsidRPr="00607562">
              <w:rPr>
                <w:rFonts w:eastAsiaTheme="minorHAnsi" w:cs="Arial"/>
                <w:b/>
                <w:bCs/>
                <w:sz w:val="22"/>
                <w:szCs w:val="22"/>
                <w:lang w:eastAsia="en-US"/>
              </w:rPr>
              <w:t>Product</w:t>
            </w:r>
          </w:p>
          <w:p w14:paraId="42055221" w14:textId="3681221A" w:rsidR="00273C5F" w:rsidRPr="00607562" w:rsidRDefault="00006E1E" w:rsidP="000545F3">
            <w:pPr>
              <w:pStyle w:val="ListParagraph"/>
              <w:numPr>
                <w:ilvl w:val="0"/>
                <w:numId w:val="4"/>
              </w:numPr>
              <w:spacing w:before="60"/>
              <w:ind w:left="318" w:hanging="284"/>
              <w:contextualSpacing w:val="0"/>
              <w:rPr>
                <w:rFonts w:cs="Arial"/>
                <w:sz w:val="22"/>
                <w:szCs w:val="22"/>
                <w:u w:val="single"/>
              </w:rPr>
            </w:pPr>
            <w:r w:rsidRPr="00607562">
              <w:rPr>
                <w:sz w:val="22"/>
                <w:szCs w:val="22"/>
              </w:rPr>
              <w:t xml:space="preserve">Immunisation Against Infectious Disease: The Green Book </w:t>
            </w:r>
            <w:hyperlink r:id="rId36" w:history="1">
              <w:r w:rsidRPr="00607562">
                <w:rPr>
                  <w:rStyle w:val="Hyperlink"/>
                  <w:rFonts w:cs="Arial"/>
                  <w:sz w:val="22"/>
                  <w:szCs w:val="22"/>
                </w:rPr>
                <w:t>Chapter 4</w:t>
              </w:r>
            </w:hyperlink>
            <w:r w:rsidR="006B46EF" w:rsidRPr="00607562">
              <w:rPr>
                <w:sz w:val="22"/>
                <w:szCs w:val="22"/>
              </w:rPr>
              <w:t>, last updated June 2012 a</w:t>
            </w:r>
            <w:r w:rsidR="00423153" w:rsidRPr="00607562">
              <w:rPr>
                <w:rFonts w:cs="Arial"/>
                <w:sz w:val="22"/>
                <w:szCs w:val="22"/>
              </w:rPr>
              <w:t xml:space="preserve">nd </w:t>
            </w:r>
            <w:hyperlink r:id="rId37" w:history="1">
              <w:r w:rsidR="006B46EF" w:rsidRPr="00607562">
                <w:rPr>
                  <w:rStyle w:val="Hyperlink"/>
                  <w:rFonts w:cs="Arial"/>
                  <w:sz w:val="22"/>
                  <w:szCs w:val="22"/>
                </w:rPr>
                <w:t>Chapter 33</w:t>
              </w:r>
            </w:hyperlink>
            <w:r w:rsidR="00423153" w:rsidRPr="00607562">
              <w:rPr>
                <w:sz w:val="22"/>
                <w:szCs w:val="22"/>
              </w:rPr>
              <w:t xml:space="preserve">, </w:t>
            </w:r>
            <w:r w:rsidRPr="00607562">
              <w:rPr>
                <w:rFonts w:cs="Arial"/>
                <w:sz w:val="22"/>
                <w:szCs w:val="22"/>
              </w:rPr>
              <w:t xml:space="preserve">last updated </w:t>
            </w:r>
            <w:r w:rsidR="006B46EF" w:rsidRPr="00607562">
              <w:rPr>
                <w:rFonts w:cs="Arial"/>
                <w:sz w:val="22"/>
                <w:szCs w:val="22"/>
              </w:rPr>
              <w:t>28 August 2015</w:t>
            </w:r>
            <w:r w:rsidRPr="00607562">
              <w:rPr>
                <w:rFonts w:cs="Arial"/>
                <w:sz w:val="22"/>
                <w:szCs w:val="22"/>
              </w:rPr>
              <w:t xml:space="preserve">. </w:t>
            </w:r>
          </w:p>
          <w:p w14:paraId="6951A927" w14:textId="00AE15C6" w:rsidR="009256E8" w:rsidRPr="00607562" w:rsidRDefault="00530B27" w:rsidP="00701A3B">
            <w:pPr>
              <w:pStyle w:val="ListParagraph"/>
              <w:ind w:left="318"/>
              <w:contextualSpacing w:val="0"/>
              <w:rPr>
                <w:rFonts w:cs="Arial"/>
                <w:sz w:val="22"/>
                <w:szCs w:val="22"/>
                <w:u w:val="single"/>
              </w:rPr>
            </w:pPr>
            <w:hyperlink r:id="rId38" w:history="1">
              <w:r w:rsidR="00006E1E" w:rsidRPr="00607562">
                <w:rPr>
                  <w:rStyle w:val="Hyperlink"/>
                  <w:rFonts w:cs="Arial"/>
                  <w:sz w:val="22"/>
                  <w:szCs w:val="22"/>
                </w:rPr>
                <w:t>https://www.gov.uk/government/collections/immunisation-against-infectious-disease-the-green-book</w:t>
              </w:r>
            </w:hyperlink>
            <w:r w:rsidR="00006E1E" w:rsidRPr="00607562">
              <w:rPr>
                <w:rStyle w:val="Hyperlink"/>
                <w:sz w:val="22"/>
                <w:szCs w:val="22"/>
              </w:rPr>
              <w:t xml:space="preserve"> </w:t>
            </w:r>
          </w:p>
          <w:p w14:paraId="5FDA2045" w14:textId="3F78020A" w:rsidR="009256E8" w:rsidRPr="00607562" w:rsidRDefault="009256E8" w:rsidP="000545F3">
            <w:pPr>
              <w:pStyle w:val="ListParagraph"/>
              <w:numPr>
                <w:ilvl w:val="0"/>
                <w:numId w:val="4"/>
              </w:numPr>
              <w:spacing w:before="60" w:after="60"/>
              <w:ind w:left="318" w:hanging="284"/>
              <w:contextualSpacing w:val="0"/>
              <w:rPr>
                <w:rFonts w:cs="Arial"/>
                <w:sz w:val="22"/>
                <w:szCs w:val="22"/>
                <w:u w:val="single"/>
              </w:rPr>
            </w:pPr>
            <w:r w:rsidRPr="00607562">
              <w:rPr>
                <w:sz w:val="22"/>
                <w:szCs w:val="22"/>
              </w:rPr>
              <w:t xml:space="preserve">Summary of Product Characteristic for </w:t>
            </w:r>
            <w:r w:rsidR="00607562" w:rsidRPr="00607562">
              <w:rPr>
                <w:rFonts w:cs="Arial"/>
                <w:bCs/>
                <w:kern w:val="36"/>
                <w:sz w:val="22"/>
                <w:szCs w:val="22"/>
                <w:lang w:val="en"/>
              </w:rPr>
              <w:t>TYPHIM Vi</w:t>
            </w:r>
            <w:r w:rsidRPr="00607562">
              <w:rPr>
                <w:rFonts w:cs="Arial"/>
                <w:sz w:val="22"/>
                <w:szCs w:val="22"/>
                <w:vertAlign w:val="superscript"/>
                <w:lang w:val="en"/>
              </w:rPr>
              <w:t>®</w:t>
            </w:r>
            <w:r w:rsidR="00607562" w:rsidRPr="00607562">
              <w:rPr>
                <w:rFonts w:cs="Arial"/>
                <w:bCs/>
                <w:kern w:val="36"/>
                <w:sz w:val="22"/>
                <w:szCs w:val="22"/>
                <w:lang w:val="en"/>
              </w:rPr>
              <w:t xml:space="preserve">, </w:t>
            </w:r>
            <w:r w:rsidRPr="00607562">
              <w:rPr>
                <w:sz w:val="22"/>
                <w:szCs w:val="22"/>
              </w:rPr>
              <w:t>GlaxoSmithKline UK</w:t>
            </w:r>
            <w:r w:rsidRPr="00607562">
              <w:rPr>
                <w:i/>
                <w:sz w:val="22"/>
                <w:szCs w:val="22"/>
              </w:rPr>
              <w:t>.</w:t>
            </w:r>
            <w:r w:rsidR="00607562" w:rsidRPr="00607562">
              <w:rPr>
                <w:sz w:val="22"/>
                <w:szCs w:val="22"/>
              </w:rPr>
              <w:t xml:space="preserve"> Last updated 3 Feb</w:t>
            </w:r>
            <w:r w:rsidR="00675944">
              <w:rPr>
                <w:sz w:val="22"/>
                <w:szCs w:val="22"/>
              </w:rPr>
              <w:t>ruary</w:t>
            </w:r>
            <w:r w:rsidR="00607562" w:rsidRPr="00607562">
              <w:rPr>
                <w:sz w:val="22"/>
                <w:szCs w:val="22"/>
              </w:rPr>
              <w:t xml:space="preserve"> 2017</w:t>
            </w:r>
            <w:r w:rsidRPr="00607562">
              <w:rPr>
                <w:sz w:val="22"/>
                <w:szCs w:val="22"/>
              </w:rPr>
              <w:t>.</w:t>
            </w:r>
            <w:r w:rsidRPr="00607562">
              <w:rPr>
                <w:i/>
                <w:sz w:val="22"/>
                <w:szCs w:val="22"/>
              </w:rPr>
              <w:t xml:space="preserve">   </w:t>
            </w:r>
            <w:hyperlink r:id="rId39" w:history="1">
              <w:r w:rsidR="00607562" w:rsidRPr="00607562">
                <w:rPr>
                  <w:rStyle w:val="Hyperlink"/>
                  <w:sz w:val="22"/>
                  <w:szCs w:val="22"/>
                </w:rPr>
                <w:t>http://www.medicines.org.uk/emc/medicine/6186</w:t>
              </w:r>
            </w:hyperlink>
            <w:r w:rsidR="00607562" w:rsidRPr="00607562">
              <w:rPr>
                <w:sz w:val="22"/>
                <w:szCs w:val="22"/>
              </w:rPr>
              <w:t xml:space="preserve"> </w:t>
            </w:r>
            <w:r w:rsidRPr="00607562">
              <w:rPr>
                <w:rFonts w:cs="Arial"/>
                <w:sz w:val="22"/>
                <w:szCs w:val="22"/>
                <w:u w:val="single"/>
              </w:rPr>
              <w:t xml:space="preserve"> </w:t>
            </w:r>
          </w:p>
          <w:p w14:paraId="72D6B3C1" w14:textId="79F3083B" w:rsidR="00363B05" w:rsidRDefault="00363B05" w:rsidP="000545F3">
            <w:pPr>
              <w:pStyle w:val="ListParagraph"/>
              <w:numPr>
                <w:ilvl w:val="0"/>
                <w:numId w:val="4"/>
              </w:numPr>
              <w:spacing w:before="60" w:after="120"/>
              <w:ind w:left="318" w:hanging="284"/>
              <w:rPr>
                <w:rFonts w:cs="Arial"/>
                <w:sz w:val="22"/>
                <w:szCs w:val="22"/>
              </w:rPr>
            </w:pPr>
            <w:r>
              <w:rPr>
                <w:rFonts w:cs="Arial"/>
                <w:sz w:val="22"/>
                <w:szCs w:val="22"/>
              </w:rPr>
              <w:t xml:space="preserve">Factsheet: Typhoid and paratyphoid. </w:t>
            </w:r>
            <w:r w:rsidR="00423153" w:rsidRPr="00607562">
              <w:rPr>
                <w:rFonts w:cs="Arial"/>
                <w:sz w:val="22"/>
                <w:szCs w:val="22"/>
              </w:rPr>
              <w:t>NaTHNaC</w:t>
            </w:r>
            <w:r>
              <w:rPr>
                <w:rFonts w:cs="Arial"/>
                <w:sz w:val="22"/>
                <w:szCs w:val="22"/>
              </w:rPr>
              <w:t>.</w:t>
            </w:r>
            <w:r w:rsidR="00423153" w:rsidRPr="00607562">
              <w:rPr>
                <w:rFonts w:cs="Arial"/>
                <w:sz w:val="22"/>
                <w:szCs w:val="22"/>
              </w:rPr>
              <w:t xml:space="preserve"> </w:t>
            </w:r>
            <w:r>
              <w:rPr>
                <w:rFonts w:cs="Arial"/>
                <w:sz w:val="22"/>
                <w:szCs w:val="22"/>
              </w:rPr>
              <w:t>Last Updated 10 Feb</w:t>
            </w:r>
            <w:r w:rsidR="00675944">
              <w:rPr>
                <w:rFonts w:cs="Arial"/>
                <w:sz w:val="22"/>
                <w:szCs w:val="22"/>
              </w:rPr>
              <w:t>ruary</w:t>
            </w:r>
            <w:r>
              <w:rPr>
                <w:rFonts w:cs="Arial"/>
                <w:sz w:val="22"/>
                <w:szCs w:val="22"/>
              </w:rPr>
              <w:t xml:space="preserve"> 2016. </w:t>
            </w:r>
          </w:p>
          <w:p w14:paraId="29698DB2" w14:textId="77777777" w:rsidR="00363B05" w:rsidRDefault="00530B27" w:rsidP="00363B05">
            <w:pPr>
              <w:pStyle w:val="ListParagraph"/>
              <w:spacing w:before="60" w:after="120"/>
              <w:ind w:left="318"/>
              <w:rPr>
                <w:sz w:val="22"/>
                <w:szCs w:val="22"/>
              </w:rPr>
            </w:pPr>
            <w:hyperlink r:id="rId40" w:history="1">
              <w:r w:rsidR="00363B05" w:rsidRPr="005A583A">
                <w:rPr>
                  <w:rStyle w:val="Hyperlink"/>
                  <w:sz w:val="22"/>
                  <w:szCs w:val="22"/>
                </w:rPr>
                <w:t>https://travelhealthpro.org.uk/factsheet/49/typhoid-and-paratyphoid</w:t>
              </w:r>
            </w:hyperlink>
          </w:p>
          <w:p w14:paraId="02EB1948" w14:textId="516DB0BE" w:rsidR="00607562" w:rsidRPr="00363B05" w:rsidRDefault="00530B27" w:rsidP="00363B05">
            <w:pPr>
              <w:pStyle w:val="ListParagraph"/>
              <w:spacing w:before="60" w:after="60"/>
              <w:ind w:left="318"/>
              <w:contextualSpacing w:val="0"/>
              <w:rPr>
                <w:sz w:val="22"/>
                <w:szCs w:val="22"/>
              </w:rPr>
            </w:pPr>
            <w:hyperlink r:id="rId41" w:history="1">
              <w:r w:rsidR="00607562" w:rsidRPr="00363B05">
                <w:rPr>
                  <w:rStyle w:val="Hyperlink"/>
                  <w:rFonts w:cs="Arial"/>
                  <w:sz w:val="22"/>
                  <w:szCs w:val="22"/>
                </w:rPr>
                <w:t>https://travelhealthpro.org.uk/countries</w:t>
              </w:r>
            </w:hyperlink>
            <w:r w:rsidR="00607562" w:rsidRPr="00363B05">
              <w:rPr>
                <w:rFonts w:cs="Arial"/>
                <w:sz w:val="22"/>
                <w:szCs w:val="22"/>
              </w:rPr>
              <w:t xml:space="preserve"> </w:t>
            </w:r>
          </w:p>
          <w:p w14:paraId="182D0049" w14:textId="77777777" w:rsidR="000D46BA" w:rsidRPr="00607562" w:rsidRDefault="000D46BA" w:rsidP="007D60BE">
            <w:pPr>
              <w:pStyle w:val="Default"/>
              <w:spacing w:before="120" w:after="60"/>
              <w:rPr>
                <w:b/>
                <w:sz w:val="22"/>
                <w:szCs w:val="22"/>
              </w:rPr>
            </w:pPr>
            <w:r w:rsidRPr="00607562">
              <w:rPr>
                <w:b/>
                <w:sz w:val="22"/>
                <w:szCs w:val="22"/>
              </w:rPr>
              <w:t>General</w:t>
            </w:r>
          </w:p>
          <w:p w14:paraId="1BAA130C" w14:textId="7B8FAE06" w:rsidR="00675944" w:rsidRPr="00675944" w:rsidRDefault="000D46BA" w:rsidP="000545F3">
            <w:pPr>
              <w:pStyle w:val="ListParagraph"/>
              <w:numPr>
                <w:ilvl w:val="0"/>
                <w:numId w:val="4"/>
              </w:numPr>
              <w:spacing w:before="60"/>
              <w:ind w:left="318" w:hanging="284"/>
              <w:rPr>
                <w:rFonts w:cs="Arial"/>
                <w:sz w:val="22"/>
                <w:szCs w:val="22"/>
                <w:u w:val="single"/>
              </w:rPr>
            </w:pPr>
            <w:r w:rsidRPr="00607562">
              <w:rPr>
                <w:rFonts w:cs="Arial"/>
                <w:sz w:val="22"/>
                <w:szCs w:val="22"/>
              </w:rPr>
              <w:t>British National Formulary (BNF) and British Na</w:t>
            </w:r>
            <w:permStart w:id="560359454" w:edGrp="everyone"/>
            <w:permEnd w:id="560359454"/>
            <w:r w:rsidRPr="00607562">
              <w:rPr>
                <w:rFonts w:cs="Arial"/>
                <w:sz w:val="22"/>
                <w:szCs w:val="22"/>
              </w:rPr>
              <w:t>tional Formulary for Children (BNF-C)</w:t>
            </w:r>
            <w:r w:rsidR="00675944">
              <w:rPr>
                <w:rFonts w:cs="Arial"/>
                <w:sz w:val="22"/>
                <w:szCs w:val="22"/>
              </w:rPr>
              <w:t>. Accessed 22 November 2017.</w:t>
            </w:r>
          </w:p>
          <w:p w14:paraId="3E81E823" w14:textId="462E7C85" w:rsidR="003961B8" w:rsidRDefault="00530B27" w:rsidP="00675944">
            <w:pPr>
              <w:pStyle w:val="ListParagraph"/>
              <w:spacing w:before="60"/>
              <w:ind w:left="318"/>
              <w:rPr>
                <w:sz w:val="22"/>
                <w:szCs w:val="22"/>
              </w:rPr>
            </w:pPr>
            <w:hyperlink r:id="rId42" w:history="1">
              <w:r w:rsidR="003961B8" w:rsidRPr="003961B8">
                <w:rPr>
                  <w:rStyle w:val="Hyperlink"/>
                  <w:sz w:val="22"/>
                  <w:szCs w:val="22"/>
                </w:rPr>
                <w:t>https://bnf.nice.org.uk/drug/typhoid-vaccine.html</w:t>
              </w:r>
            </w:hyperlink>
          </w:p>
          <w:p w14:paraId="263EF72E" w14:textId="18B366A0" w:rsidR="000D46BA" w:rsidRPr="00675944" w:rsidRDefault="00530B27" w:rsidP="00675944">
            <w:pPr>
              <w:pStyle w:val="ListParagraph"/>
              <w:spacing w:before="60"/>
              <w:ind w:left="318"/>
              <w:rPr>
                <w:rStyle w:val="Hyperlink"/>
                <w:rFonts w:cs="Arial"/>
                <w:color w:val="auto"/>
                <w:sz w:val="22"/>
                <w:szCs w:val="22"/>
              </w:rPr>
            </w:pPr>
            <w:hyperlink r:id="rId43" w:history="1">
              <w:r w:rsidR="003961B8" w:rsidRPr="003961B8">
                <w:rPr>
                  <w:rStyle w:val="Hyperlink"/>
                  <w:rFonts w:cs="Arial"/>
                  <w:sz w:val="22"/>
                  <w:szCs w:val="22"/>
                </w:rPr>
                <w:t>https://bnfc.nice.org.uk/drug/typhoid-vaccine.html</w:t>
              </w:r>
            </w:hyperlink>
          </w:p>
          <w:p w14:paraId="49A216C1" w14:textId="77777777" w:rsidR="00C16B9B" w:rsidRPr="00C16B9B" w:rsidRDefault="00C16B9B" w:rsidP="00C16B9B">
            <w:pPr>
              <w:pStyle w:val="ListParagraph"/>
              <w:numPr>
                <w:ilvl w:val="0"/>
                <w:numId w:val="4"/>
              </w:numPr>
              <w:spacing w:before="60" w:after="60"/>
              <w:ind w:left="318" w:hanging="284"/>
              <w:contextualSpacing w:val="0"/>
              <w:rPr>
                <w:rStyle w:val="Hyperlink"/>
                <w:rFonts w:cs="Arial"/>
                <w:color w:val="auto"/>
                <w:sz w:val="22"/>
                <w:szCs w:val="22"/>
                <w:u w:val="none"/>
              </w:rPr>
            </w:pPr>
            <w:r w:rsidRPr="00607562">
              <w:rPr>
                <w:sz w:val="22"/>
                <w:szCs w:val="22"/>
              </w:rPr>
              <w:t xml:space="preserve">Health Technical Memorandum 07-01: Safe Management of Healthcare Waste. Department of Health 20 March 2013 </w:t>
            </w:r>
            <w:hyperlink r:id="rId44" w:history="1">
              <w:r w:rsidRPr="00607562">
                <w:rPr>
                  <w:rStyle w:val="Hyperlink"/>
                  <w:rFonts w:cs="Arial"/>
                  <w:sz w:val="22"/>
                  <w:szCs w:val="22"/>
                </w:rPr>
                <w:t>https://www.gov.uk/government/publications/guidance-on-the-safe-management-of-healthcare-waste</w:t>
              </w:r>
            </w:hyperlink>
          </w:p>
          <w:p w14:paraId="33695801" w14:textId="05273DB4" w:rsidR="00C16B9B" w:rsidRPr="00607562" w:rsidRDefault="00C16B9B" w:rsidP="00C16B9B">
            <w:pPr>
              <w:pStyle w:val="ListParagraph"/>
              <w:numPr>
                <w:ilvl w:val="0"/>
                <w:numId w:val="4"/>
              </w:numPr>
              <w:spacing w:before="60" w:after="60"/>
              <w:ind w:left="318" w:hanging="284"/>
              <w:contextualSpacing w:val="0"/>
              <w:rPr>
                <w:rFonts w:cs="Arial"/>
                <w:sz w:val="22"/>
                <w:szCs w:val="22"/>
              </w:rPr>
            </w:pPr>
            <w:r w:rsidRPr="00607562">
              <w:rPr>
                <w:rFonts w:eastAsiaTheme="minorHAnsi" w:cs="Arial"/>
                <w:sz w:val="22"/>
                <w:szCs w:val="22"/>
                <w:lang w:eastAsia="en-US"/>
              </w:rPr>
              <w:t xml:space="preserve">Immunisation knowledge and skills competence assessment tool. </w:t>
            </w:r>
            <w:r w:rsidRPr="00607562">
              <w:rPr>
                <w:rFonts w:eastAsiaTheme="minorHAnsi" w:cs="Arial"/>
                <w:bCs/>
                <w:sz w:val="22"/>
                <w:szCs w:val="22"/>
                <w:lang w:eastAsia="en-US"/>
              </w:rPr>
              <w:t>Roy</w:t>
            </w:r>
            <w:r w:rsidR="00FF203E">
              <w:rPr>
                <w:rFonts w:eastAsiaTheme="minorHAnsi" w:cs="Arial"/>
                <w:bCs/>
                <w:sz w:val="22"/>
                <w:szCs w:val="22"/>
                <w:lang w:eastAsia="en-US"/>
              </w:rPr>
              <w:t>al College of Nursing (RCN)</w:t>
            </w:r>
            <w:r w:rsidR="00123326">
              <w:rPr>
                <w:rFonts w:eastAsiaTheme="minorHAnsi" w:cs="Arial"/>
                <w:bCs/>
                <w:sz w:val="22"/>
                <w:szCs w:val="22"/>
                <w:lang w:eastAsia="en-US"/>
              </w:rPr>
              <w:t xml:space="preserve"> 2015</w:t>
            </w:r>
            <w:r w:rsidRPr="00607562">
              <w:rPr>
                <w:rFonts w:eastAsiaTheme="minorHAnsi" w:cs="Arial"/>
                <w:bCs/>
                <w:sz w:val="22"/>
                <w:szCs w:val="22"/>
                <w:lang w:eastAsia="en-US"/>
              </w:rPr>
              <w:t xml:space="preserve">. </w:t>
            </w:r>
            <w:hyperlink r:id="rId45" w:history="1">
              <w:r w:rsidRPr="00607562">
                <w:rPr>
                  <w:rStyle w:val="Hyperlink"/>
                  <w:rFonts w:cs="Arial"/>
                  <w:sz w:val="22"/>
                  <w:szCs w:val="22"/>
                </w:rPr>
                <w:t>https://www.rcn.org.uk/professional-development/publications/pub-005336</w:t>
              </w:r>
            </w:hyperlink>
            <w:r w:rsidRPr="00607562">
              <w:rPr>
                <w:rFonts w:cs="Arial"/>
                <w:sz w:val="22"/>
                <w:szCs w:val="22"/>
              </w:rPr>
              <w:t xml:space="preserve"> </w:t>
            </w:r>
          </w:p>
          <w:p w14:paraId="589D7893" w14:textId="1C39E79F" w:rsidR="000D46BA" w:rsidRPr="00607562" w:rsidRDefault="000D46BA" w:rsidP="000545F3">
            <w:pPr>
              <w:pStyle w:val="ListParagraph"/>
              <w:numPr>
                <w:ilvl w:val="0"/>
                <w:numId w:val="4"/>
              </w:numPr>
              <w:spacing w:before="60" w:after="60"/>
              <w:ind w:left="318" w:hanging="284"/>
              <w:contextualSpacing w:val="0"/>
              <w:rPr>
                <w:rStyle w:val="Hyperlink"/>
                <w:rFonts w:cs="Arial"/>
                <w:color w:val="auto"/>
                <w:sz w:val="22"/>
                <w:szCs w:val="22"/>
                <w:u w:val="none"/>
              </w:rPr>
            </w:pPr>
            <w:r w:rsidRPr="00607562">
              <w:rPr>
                <w:sz w:val="22"/>
                <w:szCs w:val="22"/>
              </w:rPr>
              <w:t xml:space="preserve">National Minimum Standards for Immunisation Training  </w:t>
            </w:r>
            <w:hyperlink r:id="rId46" w:history="1">
              <w:r w:rsidRPr="00607562">
                <w:rPr>
                  <w:rStyle w:val="Hyperlink"/>
                  <w:rFonts w:cs="Arial"/>
                  <w:sz w:val="22"/>
                  <w:szCs w:val="22"/>
                </w:rPr>
                <w:t>https://www.gov.uk/government/publications/immunisation-training-national-minimum-standards</w:t>
              </w:r>
            </w:hyperlink>
            <w:r w:rsidRPr="00607562">
              <w:rPr>
                <w:rStyle w:val="Hyperlink"/>
                <w:sz w:val="22"/>
                <w:szCs w:val="22"/>
              </w:rPr>
              <w:t xml:space="preserve"> </w:t>
            </w:r>
            <w:r w:rsidRPr="00607562">
              <w:rPr>
                <w:rStyle w:val="Hyperlink"/>
                <w:rFonts w:cs="Arial"/>
                <w:color w:val="auto"/>
                <w:sz w:val="22"/>
                <w:szCs w:val="22"/>
              </w:rPr>
              <w:t xml:space="preserve"> </w:t>
            </w:r>
            <w:r w:rsidRPr="00607562">
              <w:rPr>
                <w:rStyle w:val="Hyperlink"/>
                <w:rFonts w:cs="Arial"/>
                <w:color w:val="auto"/>
                <w:sz w:val="22"/>
                <w:szCs w:val="22"/>
                <w:u w:val="none"/>
              </w:rPr>
              <w:t xml:space="preserve"> </w:t>
            </w:r>
          </w:p>
          <w:p w14:paraId="2C278994" w14:textId="67D96F37" w:rsidR="000D46BA" w:rsidRPr="00607562" w:rsidRDefault="000D46BA" w:rsidP="000545F3">
            <w:pPr>
              <w:pStyle w:val="ListParagraph"/>
              <w:numPr>
                <w:ilvl w:val="0"/>
                <w:numId w:val="4"/>
              </w:numPr>
              <w:spacing w:before="60" w:after="60"/>
              <w:ind w:left="318" w:hanging="284"/>
              <w:contextualSpacing w:val="0"/>
              <w:rPr>
                <w:rFonts w:cs="Arial"/>
                <w:sz w:val="22"/>
                <w:szCs w:val="22"/>
              </w:rPr>
            </w:pPr>
            <w:r w:rsidRPr="00607562">
              <w:rPr>
                <w:sz w:val="22"/>
                <w:szCs w:val="22"/>
              </w:rPr>
              <w:t xml:space="preserve">NICE Medicines Practice Guideline 2 (MPG2): Patient Group Directions. Published </w:t>
            </w:r>
            <w:r w:rsidR="00E52999" w:rsidRPr="00607562">
              <w:rPr>
                <w:sz w:val="22"/>
                <w:szCs w:val="22"/>
              </w:rPr>
              <w:t>March</w:t>
            </w:r>
            <w:r w:rsidRPr="00607562">
              <w:rPr>
                <w:sz w:val="22"/>
                <w:szCs w:val="22"/>
              </w:rPr>
              <w:t xml:space="preserve"> 201</w:t>
            </w:r>
            <w:r w:rsidR="00E52999" w:rsidRPr="00607562">
              <w:rPr>
                <w:sz w:val="22"/>
                <w:szCs w:val="22"/>
              </w:rPr>
              <w:t>7</w:t>
            </w:r>
            <w:r w:rsidRPr="00607562">
              <w:rPr>
                <w:sz w:val="22"/>
                <w:szCs w:val="22"/>
              </w:rPr>
              <w:t xml:space="preserve">. </w:t>
            </w:r>
            <w:hyperlink r:id="rId47" w:history="1">
              <w:r w:rsidRPr="00607562">
                <w:rPr>
                  <w:rStyle w:val="Hyperlink"/>
                  <w:rFonts w:cs="Arial"/>
                  <w:sz w:val="22"/>
                  <w:szCs w:val="22"/>
                </w:rPr>
                <w:t>https://www.nice.org.uk/guidance/mpg2</w:t>
              </w:r>
            </w:hyperlink>
            <w:r w:rsidRPr="00607562">
              <w:rPr>
                <w:rFonts w:cs="Arial"/>
                <w:sz w:val="22"/>
                <w:szCs w:val="22"/>
              </w:rPr>
              <w:t xml:space="preserve"> </w:t>
            </w:r>
          </w:p>
          <w:p w14:paraId="03D5B502" w14:textId="77777777" w:rsidR="000D46BA" w:rsidRPr="00607562" w:rsidRDefault="000D46BA" w:rsidP="000545F3">
            <w:pPr>
              <w:pStyle w:val="ListParagraph"/>
              <w:numPr>
                <w:ilvl w:val="0"/>
                <w:numId w:val="4"/>
              </w:numPr>
              <w:spacing w:before="60" w:after="60"/>
              <w:ind w:left="318" w:hanging="284"/>
              <w:contextualSpacing w:val="0"/>
              <w:rPr>
                <w:rFonts w:cs="Arial"/>
                <w:sz w:val="22"/>
                <w:szCs w:val="22"/>
              </w:rPr>
            </w:pPr>
            <w:r w:rsidRPr="00607562">
              <w:rPr>
                <w:sz w:val="22"/>
                <w:szCs w:val="22"/>
              </w:rPr>
              <w:t xml:space="preserve">NICE MPG2 Patient group directions: competency framework for health professionals using patient group directions. January 2014.         </w:t>
            </w:r>
            <w:hyperlink r:id="rId48" w:history="1">
              <w:r w:rsidRPr="00607562">
                <w:rPr>
                  <w:rStyle w:val="Hyperlink"/>
                  <w:rFonts w:cs="Arial"/>
                  <w:sz w:val="22"/>
                  <w:szCs w:val="22"/>
                </w:rPr>
                <w:t>https://www.nice.org.uk/guidance/mpg2/resources</w:t>
              </w:r>
            </w:hyperlink>
            <w:r w:rsidRPr="00607562">
              <w:rPr>
                <w:rFonts w:cs="Arial"/>
                <w:sz w:val="22"/>
                <w:szCs w:val="22"/>
              </w:rPr>
              <w:t xml:space="preserve"> </w:t>
            </w:r>
          </w:p>
          <w:p w14:paraId="2DFF7816" w14:textId="77777777" w:rsidR="00C16B9B" w:rsidRPr="00607562" w:rsidRDefault="00C16B9B" w:rsidP="00C16B9B">
            <w:pPr>
              <w:pStyle w:val="ListParagraph"/>
              <w:numPr>
                <w:ilvl w:val="0"/>
                <w:numId w:val="4"/>
              </w:numPr>
              <w:spacing w:before="60" w:after="60"/>
              <w:ind w:left="318" w:hanging="284"/>
              <w:contextualSpacing w:val="0"/>
              <w:rPr>
                <w:rStyle w:val="Hyperlink"/>
                <w:rFonts w:cs="Arial"/>
                <w:color w:val="auto"/>
                <w:sz w:val="22"/>
                <w:szCs w:val="22"/>
                <w:u w:val="none"/>
              </w:rPr>
            </w:pPr>
            <w:r w:rsidRPr="00607562">
              <w:rPr>
                <w:rFonts w:cs="Arial"/>
                <w:sz w:val="22"/>
                <w:szCs w:val="22"/>
              </w:rPr>
              <w:t xml:space="preserve">PHE Immunisation Collection </w:t>
            </w:r>
            <w:hyperlink r:id="rId49" w:history="1">
              <w:r w:rsidRPr="00607562">
                <w:rPr>
                  <w:rStyle w:val="Hyperlink"/>
                  <w:rFonts w:cs="Arial"/>
                  <w:sz w:val="22"/>
                  <w:szCs w:val="22"/>
                </w:rPr>
                <w:t>https://www.gov.uk/government/collections/immunisation</w:t>
              </w:r>
            </w:hyperlink>
            <w:r w:rsidRPr="00607562">
              <w:rPr>
                <w:rStyle w:val="Hyperlink"/>
                <w:sz w:val="22"/>
                <w:szCs w:val="22"/>
              </w:rPr>
              <w:t xml:space="preserve"> </w:t>
            </w:r>
          </w:p>
          <w:p w14:paraId="10FCAB12" w14:textId="77777777" w:rsidR="00C16B9B" w:rsidRDefault="00C16B9B" w:rsidP="00C16B9B">
            <w:pPr>
              <w:pStyle w:val="ListParagraph"/>
              <w:numPr>
                <w:ilvl w:val="0"/>
                <w:numId w:val="4"/>
              </w:numPr>
              <w:spacing w:before="60"/>
              <w:ind w:left="318" w:hanging="284"/>
              <w:contextualSpacing w:val="0"/>
              <w:rPr>
                <w:rFonts w:cs="Arial"/>
                <w:sz w:val="22"/>
                <w:szCs w:val="22"/>
              </w:rPr>
            </w:pPr>
            <w:r>
              <w:rPr>
                <w:rFonts w:cs="Arial"/>
                <w:sz w:val="22"/>
                <w:szCs w:val="22"/>
              </w:rPr>
              <w:t>PHE Vaccine Incident Guidance</w:t>
            </w:r>
          </w:p>
          <w:p w14:paraId="1581D3E4" w14:textId="526CEBED" w:rsidR="00C16B9B" w:rsidRPr="00C16B9B" w:rsidRDefault="00530B27" w:rsidP="00C16B9B">
            <w:pPr>
              <w:pStyle w:val="ListParagraph"/>
              <w:spacing w:after="60"/>
              <w:ind w:left="318"/>
              <w:contextualSpacing w:val="0"/>
              <w:rPr>
                <w:rFonts w:cs="Arial"/>
                <w:sz w:val="22"/>
                <w:szCs w:val="22"/>
              </w:rPr>
            </w:pPr>
            <w:hyperlink r:id="rId50" w:history="1">
              <w:r w:rsidR="00C16B9B" w:rsidRPr="00EA02C5">
                <w:rPr>
                  <w:rStyle w:val="Hyperlink"/>
                  <w:rFonts w:cs="Arial"/>
                  <w:sz w:val="22"/>
                  <w:szCs w:val="22"/>
                </w:rPr>
                <w:t>https://www.gov.uk/government/publications/vaccine-incident-guidance-responding-to-vaccine-errors</w:t>
              </w:r>
            </w:hyperlink>
            <w:r w:rsidR="00C16B9B">
              <w:rPr>
                <w:rFonts w:cs="Arial"/>
                <w:sz w:val="22"/>
                <w:szCs w:val="22"/>
              </w:rPr>
              <w:t xml:space="preserve"> </w:t>
            </w:r>
          </w:p>
          <w:p w14:paraId="5F32BFBA" w14:textId="4220B5B1" w:rsidR="00C16B9B" w:rsidRPr="00607562" w:rsidRDefault="00FD23B9" w:rsidP="000545F3">
            <w:pPr>
              <w:pStyle w:val="ListParagraph"/>
              <w:numPr>
                <w:ilvl w:val="0"/>
                <w:numId w:val="4"/>
              </w:numPr>
              <w:spacing w:before="60"/>
              <w:ind w:left="318" w:hanging="284"/>
              <w:contextualSpacing w:val="0"/>
              <w:rPr>
                <w:sz w:val="22"/>
                <w:szCs w:val="22"/>
              </w:rPr>
            </w:pPr>
            <w:r w:rsidRPr="00607562">
              <w:rPr>
                <w:sz w:val="22"/>
                <w:szCs w:val="22"/>
              </w:rPr>
              <w:t>Pr</w:t>
            </w:r>
            <w:r w:rsidRPr="00607562">
              <w:rPr>
                <w:rFonts w:cs="Arial"/>
                <w:sz w:val="22"/>
                <w:szCs w:val="22"/>
              </w:rPr>
              <w:t>otocol for ordering storage and handling of vaccines. April 2014.</w:t>
            </w:r>
          </w:p>
          <w:p w14:paraId="447C680A" w14:textId="27804705" w:rsidR="000D46BA" w:rsidRPr="00C16B9B" w:rsidRDefault="00530B27" w:rsidP="00C16B9B">
            <w:pPr>
              <w:pStyle w:val="ListParagraph"/>
              <w:spacing w:after="60"/>
              <w:ind w:left="318"/>
              <w:contextualSpacing w:val="0"/>
              <w:rPr>
                <w:color w:val="FF0000"/>
                <w:sz w:val="22"/>
                <w:szCs w:val="22"/>
              </w:rPr>
            </w:pPr>
            <w:hyperlink r:id="rId51" w:history="1">
              <w:r w:rsidR="00FD23B9" w:rsidRPr="00C16B9B">
                <w:rPr>
                  <w:rStyle w:val="Hyperlink"/>
                  <w:sz w:val="22"/>
                  <w:szCs w:val="22"/>
                </w:rPr>
                <w:t>https://www.gov.uk/government/publications/protocol-for-ordering-storing-and-handling-vaccines</w:t>
              </w:r>
            </w:hyperlink>
            <w:r w:rsidR="00FD23B9" w:rsidRPr="00C16B9B">
              <w:rPr>
                <w:rStyle w:val="Hyperlink"/>
                <w:sz w:val="22"/>
                <w:szCs w:val="22"/>
              </w:rPr>
              <w:t xml:space="preserve"> </w:t>
            </w:r>
          </w:p>
        </w:tc>
      </w:tr>
    </w:tbl>
    <w:p w14:paraId="29B971B2" w14:textId="66A96868" w:rsidR="00EA5E6F" w:rsidRDefault="00EA5E6F" w:rsidP="00EA5E6F">
      <w:pPr>
        <w:overflowPunct/>
        <w:autoSpaceDE/>
        <w:autoSpaceDN/>
        <w:adjustRightInd/>
        <w:textAlignment w:val="auto"/>
        <w:rPr>
          <w:b/>
        </w:rPr>
      </w:pPr>
      <w:r>
        <w:rPr>
          <w:b/>
        </w:rPr>
        <w:br w:type="page"/>
      </w:r>
    </w:p>
    <w:p w14:paraId="32DB081E" w14:textId="2AB8A28C" w:rsidR="00EE0035" w:rsidRPr="00EE0035" w:rsidRDefault="00DB57F0" w:rsidP="000545F3">
      <w:pPr>
        <w:pStyle w:val="ListParagraph"/>
        <w:numPr>
          <w:ilvl w:val="0"/>
          <w:numId w:val="3"/>
        </w:numPr>
        <w:rPr>
          <w:b/>
        </w:rPr>
      </w:pPr>
      <w:r>
        <w:rPr>
          <w:b/>
        </w:rPr>
        <w:lastRenderedPageBreak/>
        <w:t>P</w:t>
      </w:r>
      <w:r w:rsidR="00EE0035" w:rsidRPr="00EE0035">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5F6E4303" w:rsidR="001F085E" w:rsidRPr="002D265F" w:rsidRDefault="002D265F" w:rsidP="001F085E">
      <w:pPr>
        <w:ind w:rightChars="-375" w:right="-900"/>
        <w:rPr>
          <w:rFonts w:cs="Arial"/>
          <w:b/>
          <w:color w:val="FF0000"/>
          <w:szCs w:val="24"/>
        </w:rPr>
      </w:pPr>
      <w:r>
        <w:rPr>
          <w:b/>
          <w:szCs w:val="24"/>
        </w:rPr>
        <w:t>Typhoid</w:t>
      </w:r>
      <w:r w:rsidR="00006E1E">
        <w:rPr>
          <w:b/>
          <w:szCs w:val="24"/>
        </w:rPr>
        <w:t xml:space="preserve"> </w:t>
      </w:r>
      <w:r w:rsidR="00417636">
        <w:rPr>
          <w:b/>
          <w:szCs w:val="24"/>
        </w:rPr>
        <w:t xml:space="preserve">Vi </w:t>
      </w:r>
      <w:r w:rsidR="00006E1E">
        <w:rPr>
          <w:b/>
          <w:szCs w:val="24"/>
        </w:rPr>
        <w:t>vaccine</w:t>
      </w:r>
      <w:r w:rsidR="001F085E" w:rsidRPr="00A905F6">
        <w:rPr>
          <w:b/>
          <w:szCs w:val="24"/>
        </w:rPr>
        <w:t xml:space="preserve"> PGD </w:t>
      </w:r>
      <w:r w:rsidR="00006E1E">
        <w:rPr>
          <w:b/>
          <w:szCs w:val="24"/>
        </w:rPr>
        <w:t>v01.00</w:t>
      </w:r>
      <w:r w:rsidR="001F085E" w:rsidRPr="00A905F6">
        <w:rPr>
          <w:b/>
          <w:szCs w:val="24"/>
        </w:rPr>
        <w:t xml:space="preserve"> </w:t>
      </w:r>
      <w:r w:rsidR="001F085E" w:rsidRPr="00192EC3">
        <w:rPr>
          <w:b/>
          <w:szCs w:val="24"/>
        </w:rPr>
        <w:t>Valid fr</w:t>
      </w:r>
      <w:r w:rsidR="001F085E" w:rsidRPr="00C16B9B">
        <w:rPr>
          <w:b/>
          <w:szCs w:val="24"/>
        </w:rPr>
        <w:t>om</w:t>
      </w:r>
      <w:r w:rsidR="001F085E" w:rsidRPr="00FF203E">
        <w:rPr>
          <w:b/>
          <w:szCs w:val="24"/>
        </w:rPr>
        <w:t xml:space="preserve">: </w:t>
      </w:r>
      <w:r w:rsidR="00FF203E" w:rsidRPr="00FF203E">
        <w:rPr>
          <w:b/>
          <w:szCs w:val="24"/>
        </w:rPr>
        <w:t>01</w:t>
      </w:r>
      <w:r w:rsidRPr="00FF203E">
        <w:rPr>
          <w:b/>
          <w:szCs w:val="24"/>
        </w:rPr>
        <w:t>/</w:t>
      </w:r>
      <w:r w:rsidR="00FF203E" w:rsidRPr="00FF203E">
        <w:rPr>
          <w:b/>
          <w:szCs w:val="24"/>
        </w:rPr>
        <w:t>03/2</w:t>
      </w:r>
      <w:r w:rsidRPr="00FF203E">
        <w:rPr>
          <w:b/>
          <w:szCs w:val="24"/>
        </w:rPr>
        <w:t>0</w:t>
      </w:r>
      <w:r w:rsidR="00C16B9B" w:rsidRPr="00FF203E">
        <w:rPr>
          <w:b/>
          <w:szCs w:val="24"/>
        </w:rPr>
        <w:t>18</w:t>
      </w:r>
      <w:r w:rsidR="001F085E" w:rsidRPr="00FF203E">
        <w:rPr>
          <w:b/>
          <w:szCs w:val="24"/>
        </w:rPr>
        <w:t xml:space="preserve"> Expiry: </w:t>
      </w:r>
      <w:r w:rsidR="00FF203E" w:rsidRPr="00FF203E">
        <w:rPr>
          <w:b/>
          <w:szCs w:val="24"/>
        </w:rPr>
        <w:t>29</w:t>
      </w:r>
      <w:r w:rsidR="00C16B9B" w:rsidRPr="00FF203E">
        <w:rPr>
          <w:b/>
          <w:szCs w:val="24"/>
        </w:rPr>
        <w:t>/</w:t>
      </w:r>
      <w:r w:rsidR="00FF203E" w:rsidRPr="00FF203E">
        <w:rPr>
          <w:b/>
          <w:szCs w:val="24"/>
        </w:rPr>
        <w:t>02</w:t>
      </w:r>
      <w:r w:rsidRPr="00FF203E">
        <w:rPr>
          <w:b/>
          <w:szCs w:val="24"/>
        </w:rPr>
        <w:t>/20</w:t>
      </w:r>
      <w:r w:rsidR="00FF203E" w:rsidRPr="00FF203E">
        <w:rPr>
          <w:rFonts w:cs="Arial"/>
          <w:b/>
          <w:szCs w:val="24"/>
        </w:rPr>
        <w:t>20</w:t>
      </w:r>
    </w:p>
    <w:p w14:paraId="6827C969" w14:textId="77777777" w:rsidR="001F085E" w:rsidRPr="008D7620" w:rsidRDefault="001F085E" w:rsidP="00EE0035">
      <w:pPr>
        <w:overflowPunct/>
        <w:autoSpaceDE/>
        <w:autoSpaceDN/>
        <w:adjustRightInd/>
        <w:textAlignment w:val="auto"/>
        <w:rPr>
          <w:b/>
          <w:szCs w:val="24"/>
        </w:rPr>
      </w:pPr>
    </w:p>
    <w:p w14:paraId="37C6E620" w14:textId="26930F44" w:rsidR="00243228" w:rsidRDefault="00243228" w:rsidP="00EE0035">
      <w:pPr>
        <w:overflowPunct/>
        <w:autoSpaceDE/>
        <w:autoSpaceDN/>
        <w:adjustRightInd/>
        <w:textAlignment w:val="auto"/>
      </w:pPr>
      <w:r>
        <w:t>Before signing this PGD, check that the document has had the necessary authorisations in section two</w:t>
      </w:r>
      <w:r w:rsidR="00DB57F0">
        <w:t>. W</w:t>
      </w:r>
      <w:r>
        <w:t>ithout these, this PGD is not lawfully valid.</w:t>
      </w:r>
    </w:p>
    <w:p w14:paraId="4AB0BCE7" w14:textId="77777777" w:rsidR="00243228" w:rsidRDefault="00243228" w:rsidP="00EE0035">
      <w:pPr>
        <w:overflowPunct/>
        <w:autoSpaceDE/>
        <w:autoSpaceDN/>
        <w:adjustRightInd/>
        <w:textAlignment w:val="auto"/>
      </w:pPr>
    </w:p>
    <w:p w14:paraId="270359D9" w14:textId="64772AC5"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7C67011A"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4E15EDB7" w14:textId="16A2437A"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4D6C2EA0"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77777777" w:rsidR="00CD371D" w:rsidRDefault="00CD371D" w:rsidP="00FD1F29">
            <w:pPr>
              <w:spacing w:before="120" w:after="120"/>
              <w:rPr>
                <w:szCs w:val="24"/>
              </w:rPr>
            </w:pPr>
            <w:permStart w:id="507858152" w:edGrp="everyone" w:colFirst="0" w:colLast="0"/>
            <w:permStart w:id="521101805" w:edGrp="everyone" w:colFirst="1" w:colLast="1"/>
            <w:permStart w:id="1608463769" w:edGrp="everyone" w:colFirst="2" w:colLast="2"/>
            <w:permStart w:id="1192249897" w:edGrp="everyone" w:colFirst="3" w:colLast="3"/>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77777777" w:rsidR="00CD371D" w:rsidRDefault="00CD371D" w:rsidP="00FD1F29">
            <w:pPr>
              <w:spacing w:before="120" w:after="120"/>
              <w:rPr>
                <w:szCs w:val="24"/>
              </w:rPr>
            </w:pPr>
            <w:permStart w:id="647784422" w:edGrp="everyone" w:colFirst="0" w:colLast="0"/>
            <w:permStart w:id="1028218574" w:edGrp="everyone" w:colFirst="1" w:colLast="1"/>
            <w:permStart w:id="1983143554" w:edGrp="everyone" w:colFirst="2" w:colLast="2"/>
            <w:permStart w:id="810974300" w:edGrp="everyone" w:colFirst="3" w:colLast="3"/>
            <w:permEnd w:id="507858152"/>
            <w:permEnd w:id="521101805"/>
            <w:permEnd w:id="1608463769"/>
            <w:permEnd w:id="1192249897"/>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15075518" w:edGrp="everyone" w:colFirst="0" w:colLast="0"/>
            <w:permStart w:id="171055505" w:edGrp="everyone" w:colFirst="1" w:colLast="1"/>
            <w:permStart w:id="1341675253" w:edGrp="everyone" w:colFirst="2" w:colLast="2"/>
            <w:permStart w:id="41689009" w:edGrp="everyone" w:colFirst="3" w:colLast="3"/>
            <w:permEnd w:id="647784422"/>
            <w:permEnd w:id="1028218574"/>
            <w:permEnd w:id="1983143554"/>
            <w:permEnd w:id="810974300"/>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918583718" w:edGrp="everyone" w:colFirst="0" w:colLast="0"/>
            <w:permStart w:id="1894591046" w:edGrp="everyone" w:colFirst="1" w:colLast="1"/>
            <w:permStart w:id="434667298" w:edGrp="everyone" w:colFirst="2" w:colLast="2"/>
            <w:permStart w:id="698353044" w:edGrp="everyone" w:colFirst="3" w:colLast="3"/>
            <w:permEnd w:id="15075518"/>
            <w:permEnd w:id="171055505"/>
            <w:permEnd w:id="1341675253"/>
            <w:permEnd w:id="4168900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581898861" w:edGrp="everyone" w:colFirst="0" w:colLast="0"/>
            <w:permStart w:id="1337083129" w:edGrp="everyone" w:colFirst="1" w:colLast="1"/>
            <w:permStart w:id="1653290299" w:edGrp="everyone" w:colFirst="2" w:colLast="2"/>
            <w:permStart w:id="177159368" w:edGrp="everyone" w:colFirst="3" w:colLast="3"/>
            <w:permEnd w:id="918583718"/>
            <w:permEnd w:id="1894591046"/>
            <w:permEnd w:id="434667298"/>
            <w:permEnd w:id="698353044"/>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871120727" w:edGrp="everyone" w:colFirst="0" w:colLast="0"/>
            <w:permStart w:id="893397632" w:edGrp="everyone" w:colFirst="1" w:colLast="1"/>
            <w:permStart w:id="1441531298" w:edGrp="everyone" w:colFirst="2" w:colLast="2"/>
            <w:permStart w:id="273155962" w:edGrp="everyone" w:colFirst="3" w:colLast="3"/>
            <w:permEnd w:id="581898861"/>
            <w:permEnd w:id="1337083129"/>
            <w:permEnd w:id="1653290299"/>
            <w:permEnd w:id="177159368"/>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784373290" w:edGrp="everyone" w:colFirst="0" w:colLast="0"/>
            <w:permStart w:id="1326409046" w:edGrp="everyone" w:colFirst="1" w:colLast="1"/>
            <w:permStart w:id="87503327" w:edGrp="everyone" w:colFirst="2" w:colLast="2"/>
            <w:permStart w:id="372525868" w:edGrp="everyone" w:colFirst="3" w:colLast="3"/>
            <w:permEnd w:id="871120727"/>
            <w:permEnd w:id="893397632"/>
            <w:permEnd w:id="1441531298"/>
            <w:permEnd w:id="273155962"/>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784373290"/>
      <w:permEnd w:id="1326409046"/>
      <w:permEnd w:id="87503327"/>
      <w:permEnd w:id="372525868"/>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832E89">
        <w:tc>
          <w:tcPr>
            <w:tcW w:w="9747" w:type="dxa"/>
            <w:gridSpan w:val="4"/>
          </w:tcPr>
          <w:p w14:paraId="76B4E49A" w14:textId="2578B3BA"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230664843" w:edGrp="everyone"/>
            <w:r w:rsidRPr="0022054B">
              <w:rPr>
                <w:b/>
                <w:szCs w:val="24"/>
              </w:rPr>
              <w:t>INSERT NAME OF ORGANISATION</w:t>
            </w:r>
            <w:r w:rsidRPr="0022054B">
              <w:rPr>
                <w:szCs w:val="24"/>
              </w:rPr>
              <w:t xml:space="preserve"> </w:t>
            </w:r>
            <w:permEnd w:id="1230664843"/>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832E89">
        <w:tc>
          <w:tcPr>
            <w:tcW w:w="2518" w:type="dxa"/>
          </w:tcPr>
          <w:p w14:paraId="2EFC6611" w14:textId="77777777" w:rsidR="001F085E" w:rsidRDefault="001F085E" w:rsidP="00832E89">
            <w:pPr>
              <w:spacing w:before="120" w:after="120"/>
              <w:rPr>
                <w:szCs w:val="24"/>
              </w:rPr>
            </w:pPr>
            <w:r>
              <w:rPr>
                <w:szCs w:val="24"/>
              </w:rPr>
              <w:t>Name</w:t>
            </w:r>
          </w:p>
        </w:tc>
        <w:tc>
          <w:tcPr>
            <w:tcW w:w="3119" w:type="dxa"/>
          </w:tcPr>
          <w:p w14:paraId="23E469C0" w14:textId="77777777" w:rsidR="001F085E" w:rsidRDefault="001F085E" w:rsidP="00832E89">
            <w:pPr>
              <w:spacing w:before="120" w:after="120"/>
              <w:rPr>
                <w:szCs w:val="24"/>
              </w:rPr>
            </w:pPr>
            <w:r>
              <w:rPr>
                <w:szCs w:val="24"/>
              </w:rPr>
              <w:t>Designation</w:t>
            </w:r>
          </w:p>
        </w:tc>
        <w:tc>
          <w:tcPr>
            <w:tcW w:w="2693" w:type="dxa"/>
          </w:tcPr>
          <w:p w14:paraId="0CB9C0D9" w14:textId="77777777" w:rsidR="001F085E" w:rsidRDefault="001F085E" w:rsidP="00832E89">
            <w:pPr>
              <w:spacing w:before="120" w:after="120"/>
              <w:rPr>
                <w:szCs w:val="24"/>
              </w:rPr>
            </w:pPr>
            <w:r>
              <w:rPr>
                <w:szCs w:val="24"/>
              </w:rPr>
              <w:t>Signature</w:t>
            </w:r>
          </w:p>
        </w:tc>
        <w:tc>
          <w:tcPr>
            <w:tcW w:w="1417" w:type="dxa"/>
          </w:tcPr>
          <w:p w14:paraId="4D27ECFE" w14:textId="77777777" w:rsidR="001F085E" w:rsidRDefault="001F085E" w:rsidP="00832E89">
            <w:pPr>
              <w:spacing w:before="120" w:after="120"/>
              <w:rPr>
                <w:szCs w:val="24"/>
              </w:rPr>
            </w:pPr>
            <w:r>
              <w:rPr>
                <w:szCs w:val="24"/>
              </w:rPr>
              <w:t>Date</w:t>
            </w:r>
          </w:p>
        </w:tc>
      </w:tr>
      <w:tr w:rsidR="001F085E" w14:paraId="0A4820A4" w14:textId="77777777" w:rsidTr="00832E89">
        <w:tc>
          <w:tcPr>
            <w:tcW w:w="2518" w:type="dxa"/>
          </w:tcPr>
          <w:p w14:paraId="2EF1606A" w14:textId="77777777" w:rsidR="001F085E" w:rsidRDefault="001F085E" w:rsidP="00832E89">
            <w:pPr>
              <w:spacing w:before="120" w:after="120"/>
              <w:rPr>
                <w:szCs w:val="24"/>
              </w:rPr>
            </w:pPr>
            <w:permStart w:id="522852473" w:edGrp="everyone" w:colFirst="0" w:colLast="0"/>
            <w:permStart w:id="1755135599" w:edGrp="everyone" w:colFirst="1" w:colLast="1"/>
            <w:permStart w:id="849881241" w:edGrp="everyone" w:colFirst="2" w:colLast="2"/>
            <w:permStart w:id="434047296" w:edGrp="everyone" w:colFirst="3" w:colLast="3"/>
          </w:p>
        </w:tc>
        <w:tc>
          <w:tcPr>
            <w:tcW w:w="3119" w:type="dxa"/>
          </w:tcPr>
          <w:p w14:paraId="7D0C7E86" w14:textId="77777777" w:rsidR="001F085E" w:rsidRDefault="001F085E" w:rsidP="00832E89">
            <w:pPr>
              <w:spacing w:before="120" w:after="120"/>
              <w:rPr>
                <w:szCs w:val="24"/>
              </w:rPr>
            </w:pPr>
          </w:p>
        </w:tc>
        <w:tc>
          <w:tcPr>
            <w:tcW w:w="2693" w:type="dxa"/>
          </w:tcPr>
          <w:p w14:paraId="635EC779" w14:textId="77777777" w:rsidR="001F085E" w:rsidRDefault="001F085E" w:rsidP="00832E89">
            <w:pPr>
              <w:spacing w:before="120" w:after="120"/>
              <w:rPr>
                <w:szCs w:val="24"/>
              </w:rPr>
            </w:pPr>
          </w:p>
        </w:tc>
        <w:tc>
          <w:tcPr>
            <w:tcW w:w="1417" w:type="dxa"/>
          </w:tcPr>
          <w:p w14:paraId="46176345" w14:textId="77777777" w:rsidR="001F085E" w:rsidRDefault="001F085E" w:rsidP="00832E89">
            <w:pPr>
              <w:spacing w:before="120" w:after="120"/>
              <w:rPr>
                <w:szCs w:val="24"/>
              </w:rPr>
            </w:pPr>
          </w:p>
        </w:tc>
      </w:tr>
    </w:tbl>
    <w:permEnd w:id="522852473"/>
    <w:permEnd w:id="1755135599"/>
    <w:permEnd w:id="849881241"/>
    <w:permEnd w:id="434047296"/>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D635A5">
      <w:headerReference w:type="even" r:id="rId52"/>
      <w:headerReference w:type="default" r:id="rId53"/>
      <w:footerReference w:type="even" r:id="rId54"/>
      <w:footerReference w:type="default" r:id="rId55"/>
      <w:headerReference w:type="first" r:id="rId56"/>
      <w:footerReference w:type="first" r:id="rId57"/>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6ECB" w14:textId="77777777" w:rsidR="00530B27" w:rsidRDefault="00530B27" w:rsidP="00B37C58">
      <w:r>
        <w:separator/>
      </w:r>
    </w:p>
  </w:endnote>
  <w:endnote w:type="continuationSeparator" w:id="0">
    <w:p w14:paraId="33455BF1" w14:textId="77777777" w:rsidR="00530B27" w:rsidRDefault="00530B27" w:rsidP="00B37C58">
      <w:r>
        <w:continuationSeparator/>
      </w:r>
    </w:p>
  </w:endnote>
  <w:endnote w:type="continuationNotice" w:id="1">
    <w:p w14:paraId="180E2037" w14:textId="77777777" w:rsidR="00530B27" w:rsidRDefault="0053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charset w:val="00"/>
    <w:family w:val="roman"/>
    <w:pitch w:val="default"/>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1230" w14:textId="77777777" w:rsidR="00E1695C" w:rsidRDefault="00E1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0C01" w14:textId="7A8DA033" w:rsidR="00E1695C" w:rsidRPr="00267ECE" w:rsidRDefault="00E1695C" w:rsidP="00CB72FE">
    <w:pPr>
      <w:pStyle w:val="Footer"/>
      <w:rPr>
        <w:rFonts w:ascii="Arial" w:hAnsi="Arial"/>
        <w:sz w:val="20"/>
      </w:rPr>
    </w:pPr>
    <w:r>
      <w:rPr>
        <w:rFonts w:ascii="Arial" w:hAnsi="Arial"/>
        <w:sz w:val="20"/>
      </w:rPr>
      <w:t>Typhoid Vi vaccine PGD v01.00</w:t>
    </w:r>
    <w:r w:rsidRPr="00CB72FE">
      <w:rPr>
        <w:rFonts w:ascii="Arial" w:hAnsi="Arial"/>
        <w:sz w:val="20"/>
      </w:rPr>
      <w:t xml:space="preserve"> Valid from: </w:t>
    </w:r>
    <w:r>
      <w:rPr>
        <w:rFonts w:ascii="Arial" w:hAnsi="Arial"/>
        <w:sz w:val="20"/>
      </w:rPr>
      <w:t>01/03/2018</w:t>
    </w:r>
    <w:r w:rsidRPr="00CB72FE">
      <w:rPr>
        <w:rFonts w:ascii="Arial" w:hAnsi="Arial"/>
        <w:color w:val="FF0000"/>
        <w:sz w:val="20"/>
      </w:rPr>
      <w:t xml:space="preserve"> </w:t>
    </w:r>
    <w:r w:rsidRPr="00CB72FE">
      <w:rPr>
        <w:rFonts w:ascii="Arial" w:hAnsi="Arial"/>
        <w:sz w:val="20"/>
      </w:rPr>
      <w:t xml:space="preserve">Expiry: </w:t>
    </w:r>
    <w:r>
      <w:rPr>
        <w:rFonts w:ascii="Arial" w:hAnsi="Arial"/>
        <w:sz w:val="20"/>
      </w:rPr>
      <w:t xml:space="preserve">29/02/2020  </w:t>
    </w:r>
    <w:r w:rsidRPr="00CB72FE">
      <w:rPr>
        <w:rFonts w:ascii="Arial" w:hAnsi="Arial"/>
        <w:color w:val="FF0000"/>
        <w:sz w:val="20"/>
      </w:rPr>
      <w:t xml:space="preserve"> </w:t>
    </w:r>
    <w:r>
      <w:rPr>
        <w:rFonts w:ascii="Arial" w:hAnsi="Arial"/>
        <w:color w:val="FF0000"/>
        <w:sz w:val="20"/>
      </w:rPr>
      <w:tab/>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sidR="007F1727">
      <w:rPr>
        <w:rStyle w:val="PageNumber"/>
        <w:rFonts w:ascii="Arial" w:hAnsi="Arial"/>
        <w:noProof/>
        <w:sz w:val="20"/>
      </w:rPr>
      <w:t>2</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sidR="007F1727">
      <w:rPr>
        <w:rStyle w:val="PageNumber"/>
        <w:rFonts w:ascii="Arial" w:hAnsi="Arial"/>
        <w:noProof/>
        <w:sz w:val="20"/>
      </w:rPr>
      <w:t>13</w:t>
    </w:r>
    <w:r w:rsidRPr="00CB72FE">
      <w:rPr>
        <w:rStyle w:val="PageNumber"/>
        <w:sz w:val="20"/>
      </w:rPr>
      <w:fldChar w:fldCharType="end"/>
    </w:r>
  </w:p>
  <w:p w14:paraId="017DD2A4" w14:textId="77777777" w:rsidR="00E1695C" w:rsidRDefault="00E16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BC79" w14:textId="6483D300" w:rsidR="00E1695C" w:rsidRPr="00CB72FE" w:rsidRDefault="00E1695C">
    <w:pPr>
      <w:pStyle w:val="Footer"/>
    </w:pPr>
    <w:r>
      <w:rPr>
        <w:rFonts w:ascii="Arial" w:hAnsi="Arial"/>
        <w:sz w:val="20"/>
      </w:rPr>
      <w:t>Typhoid Vi vaccine PGD v01.00</w:t>
    </w:r>
    <w:r w:rsidRPr="00CB72FE">
      <w:rPr>
        <w:rFonts w:ascii="Arial" w:hAnsi="Arial"/>
        <w:sz w:val="20"/>
      </w:rPr>
      <w:t xml:space="preserve"> Valid from: </w:t>
    </w:r>
    <w:r>
      <w:rPr>
        <w:rFonts w:ascii="Arial" w:hAnsi="Arial"/>
        <w:sz w:val="20"/>
      </w:rPr>
      <w:t>01/03/2018</w:t>
    </w:r>
    <w:r w:rsidRPr="00CB72FE">
      <w:rPr>
        <w:rFonts w:ascii="Arial" w:hAnsi="Arial"/>
        <w:color w:val="FF0000"/>
        <w:sz w:val="20"/>
      </w:rPr>
      <w:t xml:space="preserve"> </w:t>
    </w:r>
    <w:r w:rsidRPr="00CB72FE">
      <w:rPr>
        <w:rFonts w:ascii="Arial" w:hAnsi="Arial"/>
        <w:sz w:val="20"/>
      </w:rPr>
      <w:t xml:space="preserve">Expiry: </w:t>
    </w:r>
    <w:r>
      <w:rPr>
        <w:rFonts w:ascii="Arial" w:hAnsi="Arial"/>
        <w:sz w:val="20"/>
      </w:rPr>
      <w:t xml:space="preserve">29/02/2020  </w:t>
    </w:r>
    <w:r w:rsidRPr="00CB72FE">
      <w:rPr>
        <w:rFonts w:ascii="Arial" w:hAnsi="Arial"/>
        <w:color w:val="FF0000"/>
        <w:sz w:val="20"/>
      </w:rPr>
      <w:t xml:space="preserve"> </w:t>
    </w:r>
    <w:r>
      <w:rPr>
        <w:rFonts w:ascii="Arial" w:hAnsi="Arial"/>
        <w:color w:val="FF0000"/>
        <w:sz w:val="20"/>
      </w:rPr>
      <w:tab/>
      <w:t xml:space="preserve">      </w:t>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sidR="007F1727">
      <w:rPr>
        <w:rStyle w:val="PageNumber"/>
        <w:rFonts w:ascii="Arial" w:hAnsi="Arial"/>
        <w:noProof/>
        <w:sz w:val="20"/>
      </w:rPr>
      <w:t>1</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sidR="007F1727">
      <w:rPr>
        <w:rStyle w:val="PageNumber"/>
        <w:rFonts w:ascii="Arial" w:hAnsi="Arial"/>
        <w:noProof/>
        <w:sz w:val="20"/>
      </w:rPr>
      <w:t>13</w:t>
    </w:r>
    <w:r w:rsidRPr="00CB72F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462B" w14:textId="77777777" w:rsidR="00530B27" w:rsidRDefault="00530B27" w:rsidP="00B37C58">
      <w:r>
        <w:separator/>
      </w:r>
    </w:p>
  </w:footnote>
  <w:footnote w:type="continuationSeparator" w:id="0">
    <w:p w14:paraId="405BD7B6" w14:textId="77777777" w:rsidR="00530B27" w:rsidRDefault="00530B27" w:rsidP="00B37C58">
      <w:r>
        <w:continuationSeparator/>
      </w:r>
    </w:p>
  </w:footnote>
  <w:footnote w:type="continuationNotice" w:id="1">
    <w:p w14:paraId="29CB967C" w14:textId="77777777" w:rsidR="00530B27" w:rsidRDefault="00530B27"/>
  </w:footnote>
  <w:footnote w:id="2">
    <w:p w14:paraId="76028C0F" w14:textId="663AC469" w:rsidR="00E1695C" w:rsidRDefault="00E1695C">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77777777" w:rsidR="00E1695C" w:rsidRPr="000E478E" w:rsidRDefault="00E1695C"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 w:id="4">
    <w:p w14:paraId="2F83E2B8" w14:textId="592E1287" w:rsidR="00E1695C" w:rsidRPr="001077D7" w:rsidRDefault="00E1695C">
      <w:pPr>
        <w:pStyle w:val="FootnoteText"/>
      </w:pPr>
      <w:r>
        <w:rPr>
          <w:rStyle w:val="FootnoteReference"/>
        </w:rPr>
        <w:footnoteRef/>
      </w:r>
      <w:r>
        <w:t xml:space="preserve"> PHE do not currently plan to produce a PGD </w:t>
      </w:r>
      <w:r w:rsidRPr="001077D7">
        <w:t xml:space="preserve">for </w:t>
      </w:r>
      <w:r w:rsidRPr="001077D7">
        <w:rPr>
          <w:rFonts w:cs="Arial"/>
        </w:rPr>
        <w:t>li</w:t>
      </w:r>
      <w:r>
        <w:rPr>
          <w:rFonts w:cs="Arial"/>
        </w:rPr>
        <w:t>ve oral (Ty21a) typhoid vaccine</w:t>
      </w:r>
      <w:r w:rsidRPr="001077D7">
        <w:rPr>
          <w:rFonts w:cs="Arial"/>
        </w:rPr>
        <w:t xml:space="preserve"> </w:t>
      </w:r>
      <w:r>
        <w:rPr>
          <w:rFonts w:cs="Arial"/>
        </w:rPr>
        <w:t>(</w:t>
      </w:r>
      <w:r w:rsidRPr="006358DB">
        <w:rPr>
          <w:rFonts w:cs="Arial"/>
        </w:rPr>
        <w:t>Vivotif</w:t>
      </w:r>
      <w:r w:rsidRPr="006358DB">
        <w:rPr>
          <w:rFonts w:cs="Arial"/>
          <w:vertAlign w:val="superscript"/>
          <w:lang w:val="en"/>
        </w:rPr>
        <w:t>®</w:t>
      </w:r>
      <w:r w:rsidRPr="006358DB">
        <w:rPr>
          <w:rFonts w:cs="Arial"/>
          <w:lang w:val="en"/>
        </w:rPr>
        <w:t>) because, a</w:t>
      </w:r>
      <w:r w:rsidRPr="006358DB">
        <w:rPr>
          <w:rFonts w:cs="Arial"/>
        </w:rPr>
        <w:t>s a</w:t>
      </w:r>
      <w:r>
        <w:rPr>
          <w:rFonts w:cs="Arial"/>
        </w:rPr>
        <w:t xml:space="preserve"> 3 dose oral course, an appropriately labelled supply would be required. </w:t>
      </w:r>
      <w:r>
        <w:t>Since the availability of such supplies cannot be assured when writing a national PGD template, oral vaccines may be better suited to provision by normal prescription and dispensing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BF17" w14:textId="2C8BC19E" w:rsidR="00E1695C" w:rsidRDefault="00E1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B63C" w14:textId="088F9867" w:rsidR="00E1695C" w:rsidRDefault="00E16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0EB3" w14:textId="4C6A7EB5" w:rsidR="00E1695C" w:rsidRDefault="00E1695C"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4ACB8FFE" wp14:editId="30E4B898">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CA82" w14:textId="3ED09440" w:rsidR="00E1695C" w:rsidRDefault="00E1695C" w:rsidP="00E161EA">
    <w:pPr>
      <w:pStyle w:val="Header"/>
      <w:ind w:left="-284"/>
    </w:pPr>
  </w:p>
  <w:p w14:paraId="0D34C322" w14:textId="06385A13" w:rsidR="00E1695C" w:rsidRDefault="00E1695C" w:rsidP="00E161EA">
    <w:pPr>
      <w:pStyle w:val="Header"/>
      <w:ind w:left="-284"/>
    </w:pPr>
  </w:p>
  <w:p w14:paraId="516A7DCC" w14:textId="483EB7B4" w:rsidR="00E1695C" w:rsidRDefault="00E1695C" w:rsidP="00E161EA">
    <w:pPr>
      <w:pStyle w:val="Header"/>
      <w:ind w:left="-284"/>
    </w:pPr>
  </w:p>
  <w:p w14:paraId="03150518" w14:textId="77777777" w:rsidR="00E1695C" w:rsidRDefault="00E1695C" w:rsidP="00E161EA">
    <w:pPr>
      <w:pStyle w:val="Header"/>
      <w:ind w:left="-284"/>
    </w:pPr>
  </w:p>
  <w:p w14:paraId="47F182B7" w14:textId="38672C1F" w:rsidR="00E1695C" w:rsidRDefault="00E1695C"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B2E"/>
    <w:multiLevelType w:val="hybridMultilevel"/>
    <w:tmpl w:val="43F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9751E"/>
    <w:multiLevelType w:val="hybridMultilevel"/>
    <w:tmpl w:val="AE3A59A8"/>
    <w:lvl w:ilvl="0" w:tplc="18B080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ocumentProtection w:edit="comments" w:enforcement="1" w:cryptProviderType="rsaFull" w:cryptAlgorithmClass="hash" w:cryptAlgorithmType="typeAny" w:cryptAlgorithmSid="4" w:cryptSpinCount="100000" w:hash="i3lrdLw1RgRDtjG9JhWQPgLg2Jk=" w:salt="FqZU2waQSHmm/9TaWJxoVA=="/>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58"/>
    <w:rsid w:val="00000A1D"/>
    <w:rsid w:val="0000216F"/>
    <w:rsid w:val="00002B99"/>
    <w:rsid w:val="000030A5"/>
    <w:rsid w:val="00003F8E"/>
    <w:rsid w:val="00005A40"/>
    <w:rsid w:val="00006505"/>
    <w:rsid w:val="000067FF"/>
    <w:rsid w:val="00006E1E"/>
    <w:rsid w:val="00007291"/>
    <w:rsid w:val="0000799E"/>
    <w:rsid w:val="00007B0A"/>
    <w:rsid w:val="00011983"/>
    <w:rsid w:val="00011CD7"/>
    <w:rsid w:val="000141CA"/>
    <w:rsid w:val="000143B7"/>
    <w:rsid w:val="00015AD7"/>
    <w:rsid w:val="00015FD7"/>
    <w:rsid w:val="000163C2"/>
    <w:rsid w:val="00016678"/>
    <w:rsid w:val="00017D81"/>
    <w:rsid w:val="0002085B"/>
    <w:rsid w:val="00022CF4"/>
    <w:rsid w:val="0002627B"/>
    <w:rsid w:val="000327CB"/>
    <w:rsid w:val="00032A94"/>
    <w:rsid w:val="00033B08"/>
    <w:rsid w:val="00034D78"/>
    <w:rsid w:val="0003557F"/>
    <w:rsid w:val="000366BF"/>
    <w:rsid w:val="000369EE"/>
    <w:rsid w:val="00037F1B"/>
    <w:rsid w:val="00041342"/>
    <w:rsid w:val="000422B0"/>
    <w:rsid w:val="00044B12"/>
    <w:rsid w:val="000452D9"/>
    <w:rsid w:val="00045EC4"/>
    <w:rsid w:val="0005160B"/>
    <w:rsid w:val="000526FD"/>
    <w:rsid w:val="00052D39"/>
    <w:rsid w:val="00053AE7"/>
    <w:rsid w:val="00053C0A"/>
    <w:rsid w:val="000545F3"/>
    <w:rsid w:val="000558BD"/>
    <w:rsid w:val="00057CCD"/>
    <w:rsid w:val="000605CC"/>
    <w:rsid w:val="00060924"/>
    <w:rsid w:val="00060E3A"/>
    <w:rsid w:val="00062626"/>
    <w:rsid w:val="00062844"/>
    <w:rsid w:val="0007362C"/>
    <w:rsid w:val="00073AFC"/>
    <w:rsid w:val="00075095"/>
    <w:rsid w:val="000753FC"/>
    <w:rsid w:val="00076359"/>
    <w:rsid w:val="00080471"/>
    <w:rsid w:val="000810A7"/>
    <w:rsid w:val="00081EEB"/>
    <w:rsid w:val="0008353A"/>
    <w:rsid w:val="00084641"/>
    <w:rsid w:val="00087D03"/>
    <w:rsid w:val="000905DC"/>
    <w:rsid w:val="00090CE1"/>
    <w:rsid w:val="00091CBB"/>
    <w:rsid w:val="00091EE6"/>
    <w:rsid w:val="00094CC5"/>
    <w:rsid w:val="000A2A03"/>
    <w:rsid w:val="000A3ADA"/>
    <w:rsid w:val="000A40B5"/>
    <w:rsid w:val="000A5791"/>
    <w:rsid w:val="000A6CB6"/>
    <w:rsid w:val="000A6EC8"/>
    <w:rsid w:val="000A729C"/>
    <w:rsid w:val="000B1A6A"/>
    <w:rsid w:val="000B2084"/>
    <w:rsid w:val="000B2506"/>
    <w:rsid w:val="000B2DCF"/>
    <w:rsid w:val="000B2F98"/>
    <w:rsid w:val="000B2FF8"/>
    <w:rsid w:val="000B43B3"/>
    <w:rsid w:val="000B443D"/>
    <w:rsid w:val="000B5963"/>
    <w:rsid w:val="000B5974"/>
    <w:rsid w:val="000C0FE6"/>
    <w:rsid w:val="000C1327"/>
    <w:rsid w:val="000C248E"/>
    <w:rsid w:val="000C2E80"/>
    <w:rsid w:val="000C30CB"/>
    <w:rsid w:val="000C6CFA"/>
    <w:rsid w:val="000D2680"/>
    <w:rsid w:val="000D2A84"/>
    <w:rsid w:val="000D2C82"/>
    <w:rsid w:val="000D2F38"/>
    <w:rsid w:val="000D46BA"/>
    <w:rsid w:val="000E1613"/>
    <w:rsid w:val="000E16AF"/>
    <w:rsid w:val="000E1D3A"/>
    <w:rsid w:val="000E478E"/>
    <w:rsid w:val="000E78D3"/>
    <w:rsid w:val="000F3444"/>
    <w:rsid w:val="000F4E8E"/>
    <w:rsid w:val="000F629F"/>
    <w:rsid w:val="000F69DE"/>
    <w:rsid w:val="000F7418"/>
    <w:rsid w:val="000F7561"/>
    <w:rsid w:val="00100284"/>
    <w:rsid w:val="00101DEF"/>
    <w:rsid w:val="001027CC"/>
    <w:rsid w:val="0010300D"/>
    <w:rsid w:val="00103359"/>
    <w:rsid w:val="00103DD5"/>
    <w:rsid w:val="00103E19"/>
    <w:rsid w:val="00104006"/>
    <w:rsid w:val="00104410"/>
    <w:rsid w:val="001045B2"/>
    <w:rsid w:val="001077D7"/>
    <w:rsid w:val="00107891"/>
    <w:rsid w:val="00107895"/>
    <w:rsid w:val="00111038"/>
    <w:rsid w:val="001110A6"/>
    <w:rsid w:val="0011230D"/>
    <w:rsid w:val="00112A2B"/>
    <w:rsid w:val="00112BA7"/>
    <w:rsid w:val="00113E2C"/>
    <w:rsid w:val="00114A1F"/>
    <w:rsid w:val="00114DE0"/>
    <w:rsid w:val="00115196"/>
    <w:rsid w:val="00116A7B"/>
    <w:rsid w:val="00117CD7"/>
    <w:rsid w:val="00120134"/>
    <w:rsid w:val="00120885"/>
    <w:rsid w:val="001226E9"/>
    <w:rsid w:val="00122E8A"/>
    <w:rsid w:val="00123326"/>
    <w:rsid w:val="001234E3"/>
    <w:rsid w:val="0012350B"/>
    <w:rsid w:val="00124476"/>
    <w:rsid w:val="00124FFD"/>
    <w:rsid w:val="001265A6"/>
    <w:rsid w:val="00130F3D"/>
    <w:rsid w:val="00132994"/>
    <w:rsid w:val="00133435"/>
    <w:rsid w:val="00134B80"/>
    <w:rsid w:val="001356BD"/>
    <w:rsid w:val="00135875"/>
    <w:rsid w:val="00135E42"/>
    <w:rsid w:val="00137AE2"/>
    <w:rsid w:val="00137B63"/>
    <w:rsid w:val="00140D98"/>
    <w:rsid w:val="001452C6"/>
    <w:rsid w:val="00151778"/>
    <w:rsid w:val="00155D9C"/>
    <w:rsid w:val="00157FB4"/>
    <w:rsid w:val="00160228"/>
    <w:rsid w:val="00162B1B"/>
    <w:rsid w:val="00163D03"/>
    <w:rsid w:val="00165527"/>
    <w:rsid w:val="00166F32"/>
    <w:rsid w:val="001675E0"/>
    <w:rsid w:val="001700C1"/>
    <w:rsid w:val="001710C3"/>
    <w:rsid w:val="00171903"/>
    <w:rsid w:val="0017246D"/>
    <w:rsid w:val="00173B45"/>
    <w:rsid w:val="00176CD1"/>
    <w:rsid w:val="00176E60"/>
    <w:rsid w:val="00181E5D"/>
    <w:rsid w:val="00182701"/>
    <w:rsid w:val="00182DCC"/>
    <w:rsid w:val="0018366E"/>
    <w:rsid w:val="00185081"/>
    <w:rsid w:val="001864B5"/>
    <w:rsid w:val="00187116"/>
    <w:rsid w:val="00187641"/>
    <w:rsid w:val="00187F93"/>
    <w:rsid w:val="00190006"/>
    <w:rsid w:val="00191252"/>
    <w:rsid w:val="00191F4F"/>
    <w:rsid w:val="00192DA1"/>
    <w:rsid w:val="00192EC3"/>
    <w:rsid w:val="001933F7"/>
    <w:rsid w:val="00194920"/>
    <w:rsid w:val="001968CC"/>
    <w:rsid w:val="001A0034"/>
    <w:rsid w:val="001A254A"/>
    <w:rsid w:val="001A2B32"/>
    <w:rsid w:val="001A4FF7"/>
    <w:rsid w:val="001A545E"/>
    <w:rsid w:val="001A6A53"/>
    <w:rsid w:val="001A6BB0"/>
    <w:rsid w:val="001B1419"/>
    <w:rsid w:val="001B2016"/>
    <w:rsid w:val="001B2B1B"/>
    <w:rsid w:val="001B2D74"/>
    <w:rsid w:val="001B3690"/>
    <w:rsid w:val="001B47D2"/>
    <w:rsid w:val="001B6907"/>
    <w:rsid w:val="001B69BE"/>
    <w:rsid w:val="001B7073"/>
    <w:rsid w:val="001C0B5B"/>
    <w:rsid w:val="001C305E"/>
    <w:rsid w:val="001C40E2"/>
    <w:rsid w:val="001C4BB2"/>
    <w:rsid w:val="001C508A"/>
    <w:rsid w:val="001D1F5D"/>
    <w:rsid w:val="001D34E8"/>
    <w:rsid w:val="001D678E"/>
    <w:rsid w:val="001D7379"/>
    <w:rsid w:val="001D73CE"/>
    <w:rsid w:val="001D7891"/>
    <w:rsid w:val="001E01B9"/>
    <w:rsid w:val="001E0371"/>
    <w:rsid w:val="001E12D9"/>
    <w:rsid w:val="001E19BC"/>
    <w:rsid w:val="001E1A23"/>
    <w:rsid w:val="001E28F5"/>
    <w:rsid w:val="001E40FE"/>
    <w:rsid w:val="001E42EB"/>
    <w:rsid w:val="001E625C"/>
    <w:rsid w:val="001E6768"/>
    <w:rsid w:val="001E6FD0"/>
    <w:rsid w:val="001F085E"/>
    <w:rsid w:val="001F2596"/>
    <w:rsid w:val="001F3AF6"/>
    <w:rsid w:val="001F4200"/>
    <w:rsid w:val="001F5127"/>
    <w:rsid w:val="001F53D3"/>
    <w:rsid w:val="001F63AD"/>
    <w:rsid w:val="001F6E45"/>
    <w:rsid w:val="00200ECD"/>
    <w:rsid w:val="00201614"/>
    <w:rsid w:val="00204795"/>
    <w:rsid w:val="00204910"/>
    <w:rsid w:val="00206DC2"/>
    <w:rsid w:val="00211803"/>
    <w:rsid w:val="002125CC"/>
    <w:rsid w:val="002142A3"/>
    <w:rsid w:val="00214D37"/>
    <w:rsid w:val="0021553E"/>
    <w:rsid w:val="0021586D"/>
    <w:rsid w:val="002159D9"/>
    <w:rsid w:val="002171DC"/>
    <w:rsid w:val="0022054B"/>
    <w:rsid w:val="00220725"/>
    <w:rsid w:val="002215A5"/>
    <w:rsid w:val="00222834"/>
    <w:rsid w:val="00223088"/>
    <w:rsid w:val="002232AB"/>
    <w:rsid w:val="0022479F"/>
    <w:rsid w:val="0022659E"/>
    <w:rsid w:val="00227575"/>
    <w:rsid w:val="002275C2"/>
    <w:rsid w:val="002300DE"/>
    <w:rsid w:val="0023176E"/>
    <w:rsid w:val="00231808"/>
    <w:rsid w:val="00232D5A"/>
    <w:rsid w:val="00232D6F"/>
    <w:rsid w:val="00234801"/>
    <w:rsid w:val="00234894"/>
    <w:rsid w:val="00234A88"/>
    <w:rsid w:val="00235D6D"/>
    <w:rsid w:val="00236146"/>
    <w:rsid w:val="00236CDB"/>
    <w:rsid w:val="00240312"/>
    <w:rsid w:val="002406A3"/>
    <w:rsid w:val="00243228"/>
    <w:rsid w:val="002436D7"/>
    <w:rsid w:val="00244142"/>
    <w:rsid w:val="0024415C"/>
    <w:rsid w:val="0024430B"/>
    <w:rsid w:val="0024464C"/>
    <w:rsid w:val="00251BF9"/>
    <w:rsid w:val="00252A1C"/>
    <w:rsid w:val="00252AA2"/>
    <w:rsid w:val="0025304B"/>
    <w:rsid w:val="002543A8"/>
    <w:rsid w:val="002545E8"/>
    <w:rsid w:val="00254AD4"/>
    <w:rsid w:val="0025549B"/>
    <w:rsid w:val="002557BC"/>
    <w:rsid w:val="00255FE1"/>
    <w:rsid w:val="00256EAC"/>
    <w:rsid w:val="00260762"/>
    <w:rsid w:val="00264622"/>
    <w:rsid w:val="0026533C"/>
    <w:rsid w:val="0026603E"/>
    <w:rsid w:val="00266D06"/>
    <w:rsid w:val="0026770B"/>
    <w:rsid w:val="002677F2"/>
    <w:rsid w:val="00267ECE"/>
    <w:rsid w:val="00270410"/>
    <w:rsid w:val="00270CAB"/>
    <w:rsid w:val="00270FC2"/>
    <w:rsid w:val="00272071"/>
    <w:rsid w:val="0027292C"/>
    <w:rsid w:val="002734A2"/>
    <w:rsid w:val="002736C1"/>
    <w:rsid w:val="00273C5F"/>
    <w:rsid w:val="00274F97"/>
    <w:rsid w:val="0027627A"/>
    <w:rsid w:val="002762EC"/>
    <w:rsid w:val="00277D21"/>
    <w:rsid w:val="0028191D"/>
    <w:rsid w:val="00283C59"/>
    <w:rsid w:val="00283D3A"/>
    <w:rsid w:val="00285CD3"/>
    <w:rsid w:val="0028691E"/>
    <w:rsid w:val="0028740C"/>
    <w:rsid w:val="00287A20"/>
    <w:rsid w:val="00291120"/>
    <w:rsid w:val="00291339"/>
    <w:rsid w:val="00292532"/>
    <w:rsid w:val="0029274E"/>
    <w:rsid w:val="00293582"/>
    <w:rsid w:val="002937BA"/>
    <w:rsid w:val="00294FD3"/>
    <w:rsid w:val="002955AE"/>
    <w:rsid w:val="002957D1"/>
    <w:rsid w:val="00296842"/>
    <w:rsid w:val="002A0E0B"/>
    <w:rsid w:val="002A15A4"/>
    <w:rsid w:val="002A21ED"/>
    <w:rsid w:val="002A352E"/>
    <w:rsid w:val="002A5EC0"/>
    <w:rsid w:val="002A72B1"/>
    <w:rsid w:val="002B014E"/>
    <w:rsid w:val="002B0C2D"/>
    <w:rsid w:val="002B1970"/>
    <w:rsid w:val="002B2DD8"/>
    <w:rsid w:val="002B3C9A"/>
    <w:rsid w:val="002B41AC"/>
    <w:rsid w:val="002B4B88"/>
    <w:rsid w:val="002C27BB"/>
    <w:rsid w:val="002C3EBB"/>
    <w:rsid w:val="002C7476"/>
    <w:rsid w:val="002C7938"/>
    <w:rsid w:val="002D0FC7"/>
    <w:rsid w:val="002D2577"/>
    <w:rsid w:val="002D265F"/>
    <w:rsid w:val="002D2A15"/>
    <w:rsid w:val="002D4870"/>
    <w:rsid w:val="002D49A8"/>
    <w:rsid w:val="002D68D0"/>
    <w:rsid w:val="002D7622"/>
    <w:rsid w:val="002D7DF5"/>
    <w:rsid w:val="002E0DAC"/>
    <w:rsid w:val="002E1497"/>
    <w:rsid w:val="002E1A12"/>
    <w:rsid w:val="002E447F"/>
    <w:rsid w:val="002E50C7"/>
    <w:rsid w:val="002E5693"/>
    <w:rsid w:val="002E7148"/>
    <w:rsid w:val="002E77EE"/>
    <w:rsid w:val="002E7BAA"/>
    <w:rsid w:val="002F1645"/>
    <w:rsid w:val="002F66B0"/>
    <w:rsid w:val="00300ABC"/>
    <w:rsid w:val="00300D6E"/>
    <w:rsid w:val="003011F0"/>
    <w:rsid w:val="0030250F"/>
    <w:rsid w:val="00303E82"/>
    <w:rsid w:val="00304270"/>
    <w:rsid w:val="00305475"/>
    <w:rsid w:val="00305C80"/>
    <w:rsid w:val="00307729"/>
    <w:rsid w:val="003112B1"/>
    <w:rsid w:val="003114FA"/>
    <w:rsid w:val="003126AB"/>
    <w:rsid w:val="003128AC"/>
    <w:rsid w:val="00314050"/>
    <w:rsid w:val="00315E51"/>
    <w:rsid w:val="0031600F"/>
    <w:rsid w:val="0031703D"/>
    <w:rsid w:val="00322599"/>
    <w:rsid w:val="003225CC"/>
    <w:rsid w:val="00323DE8"/>
    <w:rsid w:val="0032489D"/>
    <w:rsid w:val="00324DC2"/>
    <w:rsid w:val="0032600A"/>
    <w:rsid w:val="00326296"/>
    <w:rsid w:val="0032676B"/>
    <w:rsid w:val="003267A8"/>
    <w:rsid w:val="00327370"/>
    <w:rsid w:val="00327741"/>
    <w:rsid w:val="00330CA5"/>
    <w:rsid w:val="00334D47"/>
    <w:rsid w:val="003353BE"/>
    <w:rsid w:val="00335664"/>
    <w:rsid w:val="00336F3C"/>
    <w:rsid w:val="003376C2"/>
    <w:rsid w:val="00340725"/>
    <w:rsid w:val="00340F81"/>
    <w:rsid w:val="0034293F"/>
    <w:rsid w:val="00344157"/>
    <w:rsid w:val="00344161"/>
    <w:rsid w:val="00345EDE"/>
    <w:rsid w:val="003461E2"/>
    <w:rsid w:val="0034683E"/>
    <w:rsid w:val="003514E5"/>
    <w:rsid w:val="003532CF"/>
    <w:rsid w:val="00354C77"/>
    <w:rsid w:val="003554C3"/>
    <w:rsid w:val="00356F35"/>
    <w:rsid w:val="00357BE5"/>
    <w:rsid w:val="00360EE2"/>
    <w:rsid w:val="00361EBF"/>
    <w:rsid w:val="00363B05"/>
    <w:rsid w:val="00364047"/>
    <w:rsid w:val="00364359"/>
    <w:rsid w:val="00364D5C"/>
    <w:rsid w:val="00366548"/>
    <w:rsid w:val="00366AE7"/>
    <w:rsid w:val="00366E97"/>
    <w:rsid w:val="00367D86"/>
    <w:rsid w:val="00367EB3"/>
    <w:rsid w:val="00372699"/>
    <w:rsid w:val="00373AFF"/>
    <w:rsid w:val="0037561E"/>
    <w:rsid w:val="0038388A"/>
    <w:rsid w:val="00385B14"/>
    <w:rsid w:val="00385EB8"/>
    <w:rsid w:val="003870AA"/>
    <w:rsid w:val="0039094E"/>
    <w:rsid w:val="00390A03"/>
    <w:rsid w:val="00390C8F"/>
    <w:rsid w:val="00395C13"/>
    <w:rsid w:val="003961B8"/>
    <w:rsid w:val="0039630E"/>
    <w:rsid w:val="00396D4D"/>
    <w:rsid w:val="00396EB5"/>
    <w:rsid w:val="003976B8"/>
    <w:rsid w:val="003A0532"/>
    <w:rsid w:val="003A4027"/>
    <w:rsid w:val="003A5966"/>
    <w:rsid w:val="003B0421"/>
    <w:rsid w:val="003B0B4F"/>
    <w:rsid w:val="003B305C"/>
    <w:rsid w:val="003B46AE"/>
    <w:rsid w:val="003B4980"/>
    <w:rsid w:val="003B7149"/>
    <w:rsid w:val="003B76AD"/>
    <w:rsid w:val="003B7DCA"/>
    <w:rsid w:val="003C0481"/>
    <w:rsid w:val="003C208A"/>
    <w:rsid w:val="003D2349"/>
    <w:rsid w:val="003D387D"/>
    <w:rsid w:val="003D3BBD"/>
    <w:rsid w:val="003D3E67"/>
    <w:rsid w:val="003D6386"/>
    <w:rsid w:val="003D649D"/>
    <w:rsid w:val="003D6C44"/>
    <w:rsid w:val="003D7913"/>
    <w:rsid w:val="003E1EBF"/>
    <w:rsid w:val="003E2AB7"/>
    <w:rsid w:val="003E4AB4"/>
    <w:rsid w:val="003E4E4A"/>
    <w:rsid w:val="003E6714"/>
    <w:rsid w:val="003E74EE"/>
    <w:rsid w:val="003F2857"/>
    <w:rsid w:val="003F2920"/>
    <w:rsid w:val="003F35F4"/>
    <w:rsid w:val="00401AA4"/>
    <w:rsid w:val="004021DE"/>
    <w:rsid w:val="00402CA6"/>
    <w:rsid w:val="0041133C"/>
    <w:rsid w:val="00412096"/>
    <w:rsid w:val="00413075"/>
    <w:rsid w:val="0041331C"/>
    <w:rsid w:val="004134A7"/>
    <w:rsid w:val="004142CF"/>
    <w:rsid w:val="00414B39"/>
    <w:rsid w:val="00417636"/>
    <w:rsid w:val="00417D65"/>
    <w:rsid w:val="00420095"/>
    <w:rsid w:val="00421D80"/>
    <w:rsid w:val="00422484"/>
    <w:rsid w:val="00422B64"/>
    <w:rsid w:val="00423153"/>
    <w:rsid w:val="004231B0"/>
    <w:rsid w:val="004235ED"/>
    <w:rsid w:val="00424DD7"/>
    <w:rsid w:val="00424FA6"/>
    <w:rsid w:val="00425344"/>
    <w:rsid w:val="0042574E"/>
    <w:rsid w:val="00426B27"/>
    <w:rsid w:val="00426D66"/>
    <w:rsid w:val="0042711F"/>
    <w:rsid w:val="00431D2D"/>
    <w:rsid w:val="00432789"/>
    <w:rsid w:val="00434824"/>
    <w:rsid w:val="00435861"/>
    <w:rsid w:val="00435CAC"/>
    <w:rsid w:val="00436E06"/>
    <w:rsid w:val="00436FF8"/>
    <w:rsid w:val="004378C3"/>
    <w:rsid w:val="00437EB9"/>
    <w:rsid w:val="004415DC"/>
    <w:rsid w:val="00441B17"/>
    <w:rsid w:val="00442C9B"/>
    <w:rsid w:val="004450DE"/>
    <w:rsid w:val="00446FEB"/>
    <w:rsid w:val="00447DC7"/>
    <w:rsid w:val="00451AAE"/>
    <w:rsid w:val="00453B0F"/>
    <w:rsid w:val="00454273"/>
    <w:rsid w:val="00454DD2"/>
    <w:rsid w:val="00455CC8"/>
    <w:rsid w:val="004564CA"/>
    <w:rsid w:val="00456F52"/>
    <w:rsid w:val="00457E58"/>
    <w:rsid w:val="00461B1A"/>
    <w:rsid w:val="00461FEE"/>
    <w:rsid w:val="00463688"/>
    <w:rsid w:val="00463CBC"/>
    <w:rsid w:val="00464AD7"/>
    <w:rsid w:val="00465617"/>
    <w:rsid w:val="00472167"/>
    <w:rsid w:val="00473442"/>
    <w:rsid w:val="004735B4"/>
    <w:rsid w:val="004736A7"/>
    <w:rsid w:val="004774E5"/>
    <w:rsid w:val="00477FFD"/>
    <w:rsid w:val="00480AF8"/>
    <w:rsid w:val="0048583E"/>
    <w:rsid w:val="00485EE6"/>
    <w:rsid w:val="00486545"/>
    <w:rsid w:val="00487360"/>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3517"/>
    <w:rsid w:val="004B3525"/>
    <w:rsid w:val="004B3D9C"/>
    <w:rsid w:val="004B4EA0"/>
    <w:rsid w:val="004B759B"/>
    <w:rsid w:val="004B7A63"/>
    <w:rsid w:val="004C061F"/>
    <w:rsid w:val="004C363B"/>
    <w:rsid w:val="004C452E"/>
    <w:rsid w:val="004C5DCB"/>
    <w:rsid w:val="004C5E8A"/>
    <w:rsid w:val="004C634B"/>
    <w:rsid w:val="004C7103"/>
    <w:rsid w:val="004D0493"/>
    <w:rsid w:val="004D2F0A"/>
    <w:rsid w:val="004D3470"/>
    <w:rsid w:val="004D64D6"/>
    <w:rsid w:val="004D6513"/>
    <w:rsid w:val="004D6F98"/>
    <w:rsid w:val="004D71C0"/>
    <w:rsid w:val="004D7BF2"/>
    <w:rsid w:val="004E083A"/>
    <w:rsid w:val="004E122F"/>
    <w:rsid w:val="004E1357"/>
    <w:rsid w:val="004E3683"/>
    <w:rsid w:val="004E3C6B"/>
    <w:rsid w:val="004F0005"/>
    <w:rsid w:val="004F4420"/>
    <w:rsid w:val="0050309A"/>
    <w:rsid w:val="00503B75"/>
    <w:rsid w:val="00505E28"/>
    <w:rsid w:val="00510388"/>
    <w:rsid w:val="00510464"/>
    <w:rsid w:val="00511519"/>
    <w:rsid w:val="00511E03"/>
    <w:rsid w:val="005126F8"/>
    <w:rsid w:val="00512AB3"/>
    <w:rsid w:val="00512EB9"/>
    <w:rsid w:val="00513BBB"/>
    <w:rsid w:val="00513D8D"/>
    <w:rsid w:val="0051657C"/>
    <w:rsid w:val="0051753E"/>
    <w:rsid w:val="00517F4D"/>
    <w:rsid w:val="00520E3D"/>
    <w:rsid w:val="005230D9"/>
    <w:rsid w:val="00524D3E"/>
    <w:rsid w:val="00530B27"/>
    <w:rsid w:val="00531683"/>
    <w:rsid w:val="00531A06"/>
    <w:rsid w:val="00531C40"/>
    <w:rsid w:val="00532FFE"/>
    <w:rsid w:val="00533A9D"/>
    <w:rsid w:val="00534AA3"/>
    <w:rsid w:val="00534FE1"/>
    <w:rsid w:val="005371FC"/>
    <w:rsid w:val="00540AB6"/>
    <w:rsid w:val="005415F0"/>
    <w:rsid w:val="005425FE"/>
    <w:rsid w:val="00544380"/>
    <w:rsid w:val="0054483C"/>
    <w:rsid w:val="005449C6"/>
    <w:rsid w:val="00544D30"/>
    <w:rsid w:val="00545D31"/>
    <w:rsid w:val="005472ED"/>
    <w:rsid w:val="00551E86"/>
    <w:rsid w:val="00552054"/>
    <w:rsid w:val="005523C0"/>
    <w:rsid w:val="0055497F"/>
    <w:rsid w:val="00554D2C"/>
    <w:rsid w:val="005555A1"/>
    <w:rsid w:val="005564BA"/>
    <w:rsid w:val="005579C0"/>
    <w:rsid w:val="00557A53"/>
    <w:rsid w:val="00560AD1"/>
    <w:rsid w:val="005615D5"/>
    <w:rsid w:val="005618A8"/>
    <w:rsid w:val="00561ADC"/>
    <w:rsid w:val="005667E5"/>
    <w:rsid w:val="00567CA2"/>
    <w:rsid w:val="00571525"/>
    <w:rsid w:val="00573025"/>
    <w:rsid w:val="00573709"/>
    <w:rsid w:val="00574B90"/>
    <w:rsid w:val="00575617"/>
    <w:rsid w:val="00575E7A"/>
    <w:rsid w:val="00576947"/>
    <w:rsid w:val="00577582"/>
    <w:rsid w:val="00580F79"/>
    <w:rsid w:val="00583B2A"/>
    <w:rsid w:val="00583BA4"/>
    <w:rsid w:val="005857B6"/>
    <w:rsid w:val="00586C40"/>
    <w:rsid w:val="00587B81"/>
    <w:rsid w:val="005931A8"/>
    <w:rsid w:val="005934F3"/>
    <w:rsid w:val="00596DE8"/>
    <w:rsid w:val="00597157"/>
    <w:rsid w:val="0059783E"/>
    <w:rsid w:val="005A2245"/>
    <w:rsid w:val="005A3897"/>
    <w:rsid w:val="005A3B00"/>
    <w:rsid w:val="005B035A"/>
    <w:rsid w:val="005B53E0"/>
    <w:rsid w:val="005B5889"/>
    <w:rsid w:val="005B79BC"/>
    <w:rsid w:val="005C0787"/>
    <w:rsid w:val="005C23F5"/>
    <w:rsid w:val="005C29B6"/>
    <w:rsid w:val="005C2C6A"/>
    <w:rsid w:val="005C4139"/>
    <w:rsid w:val="005C6102"/>
    <w:rsid w:val="005C68F1"/>
    <w:rsid w:val="005C7E34"/>
    <w:rsid w:val="005D0DA7"/>
    <w:rsid w:val="005D178F"/>
    <w:rsid w:val="005D1F4C"/>
    <w:rsid w:val="005D6050"/>
    <w:rsid w:val="005D661B"/>
    <w:rsid w:val="005E0382"/>
    <w:rsid w:val="005E0961"/>
    <w:rsid w:val="005E23F6"/>
    <w:rsid w:val="005E3C49"/>
    <w:rsid w:val="005E4B93"/>
    <w:rsid w:val="005E5EDB"/>
    <w:rsid w:val="005E669C"/>
    <w:rsid w:val="005F3EF0"/>
    <w:rsid w:val="005F4F39"/>
    <w:rsid w:val="005F70DD"/>
    <w:rsid w:val="00602098"/>
    <w:rsid w:val="006030B1"/>
    <w:rsid w:val="00607562"/>
    <w:rsid w:val="00610705"/>
    <w:rsid w:val="00611445"/>
    <w:rsid w:val="006119AF"/>
    <w:rsid w:val="00613D62"/>
    <w:rsid w:val="00613F53"/>
    <w:rsid w:val="00614820"/>
    <w:rsid w:val="00614893"/>
    <w:rsid w:val="00615F3E"/>
    <w:rsid w:val="006172B8"/>
    <w:rsid w:val="006175F6"/>
    <w:rsid w:val="006200AF"/>
    <w:rsid w:val="00620B24"/>
    <w:rsid w:val="00622DBF"/>
    <w:rsid w:val="006308DA"/>
    <w:rsid w:val="00630E26"/>
    <w:rsid w:val="006318C5"/>
    <w:rsid w:val="00631EE1"/>
    <w:rsid w:val="006320FB"/>
    <w:rsid w:val="00633B57"/>
    <w:rsid w:val="00634ADF"/>
    <w:rsid w:val="006358DB"/>
    <w:rsid w:val="00637028"/>
    <w:rsid w:val="006373DF"/>
    <w:rsid w:val="00637AF3"/>
    <w:rsid w:val="00641294"/>
    <w:rsid w:val="006428F1"/>
    <w:rsid w:val="006433BC"/>
    <w:rsid w:val="00645014"/>
    <w:rsid w:val="00652237"/>
    <w:rsid w:val="006525A7"/>
    <w:rsid w:val="00653D19"/>
    <w:rsid w:val="00655F24"/>
    <w:rsid w:val="006644BE"/>
    <w:rsid w:val="006650AA"/>
    <w:rsid w:val="00666CBB"/>
    <w:rsid w:val="00666E27"/>
    <w:rsid w:val="00666E65"/>
    <w:rsid w:val="006670FC"/>
    <w:rsid w:val="006679A2"/>
    <w:rsid w:val="00670382"/>
    <w:rsid w:val="00671FEE"/>
    <w:rsid w:val="0067314D"/>
    <w:rsid w:val="006740BA"/>
    <w:rsid w:val="0067455C"/>
    <w:rsid w:val="0067497B"/>
    <w:rsid w:val="0067534F"/>
    <w:rsid w:val="00675944"/>
    <w:rsid w:val="00675D55"/>
    <w:rsid w:val="00676995"/>
    <w:rsid w:val="00680485"/>
    <w:rsid w:val="006813FB"/>
    <w:rsid w:val="00681999"/>
    <w:rsid w:val="00681EC2"/>
    <w:rsid w:val="00683792"/>
    <w:rsid w:val="00683C7F"/>
    <w:rsid w:val="00683DC3"/>
    <w:rsid w:val="0068443A"/>
    <w:rsid w:val="006847A3"/>
    <w:rsid w:val="00685DD8"/>
    <w:rsid w:val="00686B13"/>
    <w:rsid w:val="00687A4E"/>
    <w:rsid w:val="00687D91"/>
    <w:rsid w:val="00690694"/>
    <w:rsid w:val="00691A11"/>
    <w:rsid w:val="0069353A"/>
    <w:rsid w:val="00693B1E"/>
    <w:rsid w:val="00694F3F"/>
    <w:rsid w:val="00694F99"/>
    <w:rsid w:val="0069541C"/>
    <w:rsid w:val="00696514"/>
    <w:rsid w:val="00696E6B"/>
    <w:rsid w:val="006A003E"/>
    <w:rsid w:val="006A18F3"/>
    <w:rsid w:val="006A2BBE"/>
    <w:rsid w:val="006A4245"/>
    <w:rsid w:val="006A6789"/>
    <w:rsid w:val="006A7931"/>
    <w:rsid w:val="006A7A28"/>
    <w:rsid w:val="006B166E"/>
    <w:rsid w:val="006B2FA2"/>
    <w:rsid w:val="006B40D7"/>
    <w:rsid w:val="006B46EF"/>
    <w:rsid w:val="006B4A57"/>
    <w:rsid w:val="006B6C13"/>
    <w:rsid w:val="006B7F11"/>
    <w:rsid w:val="006C1522"/>
    <w:rsid w:val="006C1805"/>
    <w:rsid w:val="006C191B"/>
    <w:rsid w:val="006C191C"/>
    <w:rsid w:val="006C69EC"/>
    <w:rsid w:val="006C6DD2"/>
    <w:rsid w:val="006C7DC1"/>
    <w:rsid w:val="006D2947"/>
    <w:rsid w:val="006E0273"/>
    <w:rsid w:val="006E2380"/>
    <w:rsid w:val="006E3026"/>
    <w:rsid w:val="006E3703"/>
    <w:rsid w:val="006E3A37"/>
    <w:rsid w:val="006E4EAD"/>
    <w:rsid w:val="006E5580"/>
    <w:rsid w:val="006E55AD"/>
    <w:rsid w:val="006E6FCB"/>
    <w:rsid w:val="006F222A"/>
    <w:rsid w:val="006F3707"/>
    <w:rsid w:val="006F4906"/>
    <w:rsid w:val="006F6F1C"/>
    <w:rsid w:val="006F7521"/>
    <w:rsid w:val="006F7D45"/>
    <w:rsid w:val="0070098A"/>
    <w:rsid w:val="00700F43"/>
    <w:rsid w:val="00701A3B"/>
    <w:rsid w:val="007029F6"/>
    <w:rsid w:val="00704159"/>
    <w:rsid w:val="00704725"/>
    <w:rsid w:val="00704F61"/>
    <w:rsid w:val="00710B97"/>
    <w:rsid w:val="0071244D"/>
    <w:rsid w:val="0071398F"/>
    <w:rsid w:val="00721DC1"/>
    <w:rsid w:val="00722C42"/>
    <w:rsid w:val="00723B5E"/>
    <w:rsid w:val="00724AC0"/>
    <w:rsid w:val="00724AEA"/>
    <w:rsid w:val="00726B2C"/>
    <w:rsid w:val="00731C04"/>
    <w:rsid w:val="00732014"/>
    <w:rsid w:val="007334ED"/>
    <w:rsid w:val="0073387A"/>
    <w:rsid w:val="007354B9"/>
    <w:rsid w:val="00737D64"/>
    <w:rsid w:val="00742566"/>
    <w:rsid w:val="00743C5C"/>
    <w:rsid w:val="00746B45"/>
    <w:rsid w:val="00750C74"/>
    <w:rsid w:val="00751A74"/>
    <w:rsid w:val="0075287D"/>
    <w:rsid w:val="0075491B"/>
    <w:rsid w:val="00756264"/>
    <w:rsid w:val="00757C2C"/>
    <w:rsid w:val="00761CF8"/>
    <w:rsid w:val="00764534"/>
    <w:rsid w:val="0076532D"/>
    <w:rsid w:val="00770345"/>
    <w:rsid w:val="00771FFC"/>
    <w:rsid w:val="00773417"/>
    <w:rsid w:val="007734AE"/>
    <w:rsid w:val="007736EB"/>
    <w:rsid w:val="007741F1"/>
    <w:rsid w:val="0077464D"/>
    <w:rsid w:val="00774B30"/>
    <w:rsid w:val="0077518F"/>
    <w:rsid w:val="00775AF9"/>
    <w:rsid w:val="007762BD"/>
    <w:rsid w:val="007817A6"/>
    <w:rsid w:val="00781A26"/>
    <w:rsid w:val="00781E50"/>
    <w:rsid w:val="007829FD"/>
    <w:rsid w:val="00784ADC"/>
    <w:rsid w:val="0078783A"/>
    <w:rsid w:val="007907D6"/>
    <w:rsid w:val="007914FD"/>
    <w:rsid w:val="0079217A"/>
    <w:rsid w:val="00795ECF"/>
    <w:rsid w:val="00796051"/>
    <w:rsid w:val="00796641"/>
    <w:rsid w:val="007A0305"/>
    <w:rsid w:val="007A0472"/>
    <w:rsid w:val="007A205C"/>
    <w:rsid w:val="007A2817"/>
    <w:rsid w:val="007A7F8A"/>
    <w:rsid w:val="007B0924"/>
    <w:rsid w:val="007B2494"/>
    <w:rsid w:val="007B2B41"/>
    <w:rsid w:val="007B3C65"/>
    <w:rsid w:val="007B51C2"/>
    <w:rsid w:val="007B56AB"/>
    <w:rsid w:val="007B645F"/>
    <w:rsid w:val="007B6992"/>
    <w:rsid w:val="007B6ABD"/>
    <w:rsid w:val="007B6CA5"/>
    <w:rsid w:val="007B76EF"/>
    <w:rsid w:val="007B7EC8"/>
    <w:rsid w:val="007C14F1"/>
    <w:rsid w:val="007C26CF"/>
    <w:rsid w:val="007C2B1B"/>
    <w:rsid w:val="007C4122"/>
    <w:rsid w:val="007C49CA"/>
    <w:rsid w:val="007C6D56"/>
    <w:rsid w:val="007C7C9E"/>
    <w:rsid w:val="007D4A20"/>
    <w:rsid w:val="007D5189"/>
    <w:rsid w:val="007D5839"/>
    <w:rsid w:val="007D60BE"/>
    <w:rsid w:val="007D6314"/>
    <w:rsid w:val="007D6B29"/>
    <w:rsid w:val="007D7DA8"/>
    <w:rsid w:val="007E045E"/>
    <w:rsid w:val="007E0F51"/>
    <w:rsid w:val="007E324D"/>
    <w:rsid w:val="007E487A"/>
    <w:rsid w:val="007E6D72"/>
    <w:rsid w:val="007E774B"/>
    <w:rsid w:val="007E7909"/>
    <w:rsid w:val="007F00B9"/>
    <w:rsid w:val="007F1727"/>
    <w:rsid w:val="008007EA"/>
    <w:rsid w:val="00804268"/>
    <w:rsid w:val="00804596"/>
    <w:rsid w:val="00804724"/>
    <w:rsid w:val="008059C3"/>
    <w:rsid w:val="0080689E"/>
    <w:rsid w:val="00806DBB"/>
    <w:rsid w:val="00807634"/>
    <w:rsid w:val="00807DDF"/>
    <w:rsid w:val="00811532"/>
    <w:rsid w:val="008147B1"/>
    <w:rsid w:val="00815487"/>
    <w:rsid w:val="00815ED7"/>
    <w:rsid w:val="008164B4"/>
    <w:rsid w:val="00817BB4"/>
    <w:rsid w:val="00820A72"/>
    <w:rsid w:val="00821752"/>
    <w:rsid w:val="00821E60"/>
    <w:rsid w:val="00823C7F"/>
    <w:rsid w:val="00824667"/>
    <w:rsid w:val="00827366"/>
    <w:rsid w:val="008277F3"/>
    <w:rsid w:val="00830B5B"/>
    <w:rsid w:val="0083123D"/>
    <w:rsid w:val="00832E89"/>
    <w:rsid w:val="00833AF0"/>
    <w:rsid w:val="00841B5E"/>
    <w:rsid w:val="008422D8"/>
    <w:rsid w:val="008429B1"/>
    <w:rsid w:val="00842FF0"/>
    <w:rsid w:val="008431D2"/>
    <w:rsid w:val="00846EA9"/>
    <w:rsid w:val="00847124"/>
    <w:rsid w:val="0084722A"/>
    <w:rsid w:val="0085001C"/>
    <w:rsid w:val="00850733"/>
    <w:rsid w:val="0085184A"/>
    <w:rsid w:val="008519B2"/>
    <w:rsid w:val="008544C1"/>
    <w:rsid w:val="00854FB0"/>
    <w:rsid w:val="00855509"/>
    <w:rsid w:val="0085554B"/>
    <w:rsid w:val="00856272"/>
    <w:rsid w:val="0085734B"/>
    <w:rsid w:val="0085769C"/>
    <w:rsid w:val="00860547"/>
    <w:rsid w:val="00860ACA"/>
    <w:rsid w:val="008612C9"/>
    <w:rsid w:val="00863A7E"/>
    <w:rsid w:val="00864DAD"/>
    <w:rsid w:val="008659E3"/>
    <w:rsid w:val="00865CB9"/>
    <w:rsid w:val="00866B54"/>
    <w:rsid w:val="00870761"/>
    <w:rsid w:val="00870DBC"/>
    <w:rsid w:val="0087180E"/>
    <w:rsid w:val="00871CD5"/>
    <w:rsid w:val="00872D0E"/>
    <w:rsid w:val="00880255"/>
    <w:rsid w:val="00882374"/>
    <w:rsid w:val="00883298"/>
    <w:rsid w:val="00883EDD"/>
    <w:rsid w:val="008844FF"/>
    <w:rsid w:val="008846CE"/>
    <w:rsid w:val="00886C0D"/>
    <w:rsid w:val="00890A0E"/>
    <w:rsid w:val="008910A6"/>
    <w:rsid w:val="0089178F"/>
    <w:rsid w:val="008935D7"/>
    <w:rsid w:val="00893A89"/>
    <w:rsid w:val="00894FA1"/>
    <w:rsid w:val="008955C5"/>
    <w:rsid w:val="00895C45"/>
    <w:rsid w:val="00896281"/>
    <w:rsid w:val="008A132D"/>
    <w:rsid w:val="008A3834"/>
    <w:rsid w:val="008A43F8"/>
    <w:rsid w:val="008A52A6"/>
    <w:rsid w:val="008A5670"/>
    <w:rsid w:val="008B14E3"/>
    <w:rsid w:val="008B32F4"/>
    <w:rsid w:val="008B3D11"/>
    <w:rsid w:val="008B4620"/>
    <w:rsid w:val="008B477D"/>
    <w:rsid w:val="008B4A08"/>
    <w:rsid w:val="008B544E"/>
    <w:rsid w:val="008B5C71"/>
    <w:rsid w:val="008C1BB1"/>
    <w:rsid w:val="008C3630"/>
    <w:rsid w:val="008C3FF5"/>
    <w:rsid w:val="008C449D"/>
    <w:rsid w:val="008C79D9"/>
    <w:rsid w:val="008D0C53"/>
    <w:rsid w:val="008D0F26"/>
    <w:rsid w:val="008D23B8"/>
    <w:rsid w:val="008D27AF"/>
    <w:rsid w:val="008D3FAF"/>
    <w:rsid w:val="008D7620"/>
    <w:rsid w:val="008D7BE8"/>
    <w:rsid w:val="008E1FC0"/>
    <w:rsid w:val="008E36CD"/>
    <w:rsid w:val="008E537D"/>
    <w:rsid w:val="008E5D38"/>
    <w:rsid w:val="008E61D6"/>
    <w:rsid w:val="008E778C"/>
    <w:rsid w:val="008F03AF"/>
    <w:rsid w:val="008F1C68"/>
    <w:rsid w:val="008F2050"/>
    <w:rsid w:val="008F248D"/>
    <w:rsid w:val="008F3529"/>
    <w:rsid w:val="008F3F4D"/>
    <w:rsid w:val="008F5E52"/>
    <w:rsid w:val="008F69F6"/>
    <w:rsid w:val="008F7669"/>
    <w:rsid w:val="00900859"/>
    <w:rsid w:val="0090107D"/>
    <w:rsid w:val="00902D27"/>
    <w:rsid w:val="00903D47"/>
    <w:rsid w:val="00904FB7"/>
    <w:rsid w:val="00905BF9"/>
    <w:rsid w:val="00905D17"/>
    <w:rsid w:val="00906777"/>
    <w:rsid w:val="00910699"/>
    <w:rsid w:val="00910BF2"/>
    <w:rsid w:val="00911A85"/>
    <w:rsid w:val="009165C1"/>
    <w:rsid w:val="009178ED"/>
    <w:rsid w:val="00920E0D"/>
    <w:rsid w:val="0092137D"/>
    <w:rsid w:val="00922068"/>
    <w:rsid w:val="009256E8"/>
    <w:rsid w:val="00925FA0"/>
    <w:rsid w:val="00926FB3"/>
    <w:rsid w:val="00927FA5"/>
    <w:rsid w:val="00930810"/>
    <w:rsid w:val="00932347"/>
    <w:rsid w:val="00932697"/>
    <w:rsid w:val="009341A5"/>
    <w:rsid w:val="009345F1"/>
    <w:rsid w:val="00936D92"/>
    <w:rsid w:val="00937717"/>
    <w:rsid w:val="0093796A"/>
    <w:rsid w:val="00940A55"/>
    <w:rsid w:val="00943325"/>
    <w:rsid w:val="0094409A"/>
    <w:rsid w:val="00944F65"/>
    <w:rsid w:val="00946D9C"/>
    <w:rsid w:val="009506CE"/>
    <w:rsid w:val="00950951"/>
    <w:rsid w:val="009522EA"/>
    <w:rsid w:val="00953116"/>
    <w:rsid w:val="00956019"/>
    <w:rsid w:val="009576CC"/>
    <w:rsid w:val="00962267"/>
    <w:rsid w:val="00963693"/>
    <w:rsid w:val="00963F34"/>
    <w:rsid w:val="00963FAC"/>
    <w:rsid w:val="00965211"/>
    <w:rsid w:val="0096604D"/>
    <w:rsid w:val="00966E78"/>
    <w:rsid w:val="00967420"/>
    <w:rsid w:val="0096759D"/>
    <w:rsid w:val="00967628"/>
    <w:rsid w:val="00970B61"/>
    <w:rsid w:val="009720A7"/>
    <w:rsid w:val="00973AF7"/>
    <w:rsid w:val="0097616A"/>
    <w:rsid w:val="00976BA5"/>
    <w:rsid w:val="00980E67"/>
    <w:rsid w:val="009812E0"/>
    <w:rsid w:val="009816D2"/>
    <w:rsid w:val="009818C0"/>
    <w:rsid w:val="0098270E"/>
    <w:rsid w:val="00983DB5"/>
    <w:rsid w:val="009852E8"/>
    <w:rsid w:val="00985862"/>
    <w:rsid w:val="009858D1"/>
    <w:rsid w:val="0098643E"/>
    <w:rsid w:val="00987EF8"/>
    <w:rsid w:val="0099220B"/>
    <w:rsid w:val="00994216"/>
    <w:rsid w:val="00995C4E"/>
    <w:rsid w:val="00996E09"/>
    <w:rsid w:val="009A2DE4"/>
    <w:rsid w:val="009A5B54"/>
    <w:rsid w:val="009A7008"/>
    <w:rsid w:val="009B1550"/>
    <w:rsid w:val="009B22A2"/>
    <w:rsid w:val="009B3AD8"/>
    <w:rsid w:val="009B447C"/>
    <w:rsid w:val="009B6BE7"/>
    <w:rsid w:val="009B6DB4"/>
    <w:rsid w:val="009B712A"/>
    <w:rsid w:val="009C4452"/>
    <w:rsid w:val="009C4CF4"/>
    <w:rsid w:val="009C5F32"/>
    <w:rsid w:val="009C7ED8"/>
    <w:rsid w:val="009D13A5"/>
    <w:rsid w:val="009D1C16"/>
    <w:rsid w:val="009D6983"/>
    <w:rsid w:val="009D7A7F"/>
    <w:rsid w:val="009D7D7A"/>
    <w:rsid w:val="009E0D5B"/>
    <w:rsid w:val="009E0FB8"/>
    <w:rsid w:val="009E106B"/>
    <w:rsid w:val="009E1318"/>
    <w:rsid w:val="009E1C35"/>
    <w:rsid w:val="009E25E6"/>
    <w:rsid w:val="009E36CB"/>
    <w:rsid w:val="009E3F10"/>
    <w:rsid w:val="009E4220"/>
    <w:rsid w:val="009E53E6"/>
    <w:rsid w:val="009E6969"/>
    <w:rsid w:val="009E7719"/>
    <w:rsid w:val="009E7BC8"/>
    <w:rsid w:val="009F18ED"/>
    <w:rsid w:val="009F1AF8"/>
    <w:rsid w:val="009F245C"/>
    <w:rsid w:val="009F3458"/>
    <w:rsid w:val="009F6FDE"/>
    <w:rsid w:val="00A0061B"/>
    <w:rsid w:val="00A03E1D"/>
    <w:rsid w:val="00A050AF"/>
    <w:rsid w:val="00A05842"/>
    <w:rsid w:val="00A0639A"/>
    <w:rsid w:val="00A06655"/>
    <w:rsid w:val="00A06A96"/>
    <w:rsid w:val="00A07463"/>
    <w:rsid w:val="00A07A12"/>
    <w:rsid w:val="00A07C8C"/>
    <w:rsid w:val="00A11D03"/>
    <w:rsid w:val="00A13AE5"/>
    <w:rsid w:val="00A1411F"/>
    <w:rsid w:val="00A14BB9"/>
    <w:rsid w:val="00A14C73"/>
    <w:rsid w:val="00A202D7"/>
    <w:rsid w:val="00A22165"/>
    <w:rsid w:val="00A2350D"/>
    <w:rsid w:val="00A23CE7"/>
    <w:rsid w:val="00A25F69"/>
    <w:rsid w:val="00A31C84"/>
    <w:rsid w:val="00A32020"/>
    <w:rsid w:val="00A33792"/>
    <w:rsid w:val="00A33CE6"/>
    <w:rsid w:val="00A33FBA"/>
    <w:rsid w:val="00A37195"/>
    <w:rsid w:val="00A37F3C"/>
    <w:rsid w:val="00A40D27"/>
    <w:rsid w:val="00A41CB3"/>
    <w:rsid w:val="00A41CC7"/>
    <w:rsid w:val="00A425B9"/>
    <w:rsid w:val="00A429A4"/>
    <w:rsid w:val="00A43169"/>
    <w:rsid w:val="00A440DE"/>
    <w:rsid w:val="00A44B42"/>
    <w:rsid w:val="00A45556"/>
    <w:rsid w:val="00A50EAE"/>
    <w:rsid w:val="00A56339"/>
    <w:rsid w:val="00A60816"/>
    <w:rsid w:val="00A6295F"/>
    <w:rsid w:val="00A63B72"/>
    <w:rsid w:val="00A64F4E"/>
    <w:rsid w:val="00A66B78"/>
    <w:rsid w:val="00A73358"/>
    <w:rsid w:val="00A75B9F"/>
    <w:rsid w:val="00A75D4C"/>
    <w:rsid w:val="00A7638E"/>
    <w:rsid w:val="00A76B50"/>
    <w:rsid w:val="00A77B34"/>
    <w:rsid w:val="00A8125D"/>
    <w:rsid w:val="00A8191D"/>
    <w:rsid w:val="00A84E81"/>
    <w:rsid w:val="00A87BB1"/>
    <w:rsid w:val="00A905F6"/>
    <w:rsid w:val="00A927C7"/>
    <w:rsid w:val="00A92A96"/>
    <w:rsid w:val="00A9315C"/>
    <w:rsid w:val="00A956FD"/>
    <w:rsid w:val="00A972A6"/>
    <w:rsid w:val="00AA036F"/>
    <w:rsid w:val="00AA1020"/>
    <w:rsid w:val="00AA644C"/>
    <w:rsid w:val="00AB0EB2"/>
    <w:rsid w:val="00AB1EF2"/>
    <w:rsid w:val="00AB22AD"/>
    <w:rsid w:val="00AB2C22"/>
    <w:rsid w:val="00AB5236"/>
    <w:rsid w:val="00AB612D"/>
    <w:rsid w:val="00AB6275"/>
    <w:rsid w:val="00AB7C22"/>
    <w:rsid w:val="00AB7ED8"/>
    <w:rsid w:val="00AC0606"/>
    <w:rsid w:val="00AC0A55"/>
    <w:rsid w:val="00AC184F"/>
    <w:rsid w:val="00AC1F73"/>
    <w:rsid w:val="00AC20AC"/>
    <w:rsid w:val="00AC362A"/>
    <w:rsid w:val="00AC3828"/>
    <w:rsid w:val="00AC48BE"/>
    <w:rsid w:val="00AD041D"/>
    <w:rsid w:val="00AD34D1"/>
    <w:rsid w:val="00AD5B95"/>
    <w:rsid w:val="00AD6974"/>
    <w:rsid w:val="00AD716A"/>
    <w:rsid w:val="00AE6F78"/>
    <w:rsid w:val="00AF2ACF"/>
    <w:rsid w:val="00AF5164"/>
    <w:rsid w:val="00B025D3"/>
    <w:rsid w:val="00B03C3F"/>
    <w:rsid w:val="00B0437A"/>
    <w:rsid w:val="00B04A2D"/>
    <w:rsid w:val="00B068B2"/>
    <w:rsid w:val="00B070F1"/>
    <w:rsid w:val="00B07AE9"/>
    <w:rsid w:val="00B11278"/>
    <w:rsid w:val="00B11781"/>
    <w:rsid w:val="00B15ECC"/>
    <w:rsid w:val="00B249CC"/>
    <w:rsid w:val="00B25C3A"/>
    <w:rsid w:val="00B26D99"/>
    <w:rsid w:val="00B27D87"/>
    <w:rsid w:val="00B31FC0"/>
    <w:rsid w:val="00B32864"/>
    <w:rsid w:val="00B32ECD"/>
    <w:rsid w:val="00B33537"/>
    <w:rsid w:val="00B33811"/>
    <w:rsid w:val="00B33FBE"/>
    <w:rsid w:val="00B35106"/>
    <w:rsid w:val="00B36518"/>
    <w:rsid w:val="00B37131"/>
    <w:rsid w:val="00B37B3B"/>
    <w:rsid w:val="00B37C58"/>
    <w:rsid w:val="00B406BE"/>
    <w:rsid w:val="00B4381D"/>
    <w:rsid w:val="00B453A1"/>
    <w:rsid w:val="00B45643"/>
    <w:rsid w:val="00B46000"/>
    <w:rsid w:val="00B46152"/>
    <w:rsid w:val="00B46801"/>
    <w:rsid w:val="00B47603"/>
    <w:rsid w:val="00B50DCE"/>
    <w:rsid w:val="00B51C68"/>
    <w:rsid w:val="00B57D45"/>
    <w:rsid w:val="00B57E51"/>
    <w:rsid w:val="00B62617"/>
    <w:rsid w:val="00B63697"/>
    <w:rsid w:val="00B6376A"/>
    <w:rsid w:val="00B63A95"/>
    <w:rsid w:val="00B63DD4"/>
    <w:rsid w:val="00B70101"/>
    <w:rsid w:val="00B7163D"/>
    <w:rsid w:val="00B72CB2"/>
    <w:rsid w:val="00B76A14"/>
    <w:rsid w:val="00B76A17"/>
    <w:rsid w:val="00B801FC"/>
    <w:rsid w:val="00B805D0"/>
    <w:rsid w:val="00B8399F"/>
    <w:rsid w:val="00B83AA7"/>
    <w:rsid w:val="00B87839"/>
    <w:rsid w:val="00B901A2"/>
    <w:rsid w:val="00BA03CD"/>
    <w:rsid w:val="00BA16C1"/>
    <w:rsid w:val="00BA2EE8"/>
    <w:rsid w:val="00BA3F01"/>
    <w:rsid w:val="00BA565E"/>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4FD4"/>
    <w:rsid w:val="00BC6F32"/>
    <w:rsid w:val="00BC727B"/>
    <w:rsid w:val="00BC7B68"/>
    <w:rsid w:val="00BD223F"/>
    <w:rsid w:val="00BD3A78"/>
    <w:rsid w:val="00BD417D"/>
    <w:rsid w:val="00BD459C"/>
    <w:rsid w:val="00BD5A59"/>
    <w:rsid w:val="00BD6FC1"/>
    <w:rsid w:val="00BD7DE5"/>
    <w:rsid w:val="00BE1007"/>
    <w:rsid w:val="00BE1835"/>
    <w:rsid w:val="00BE1F0C"/>
    <w:rsid w:val="00BE3947"/>
    <w:rsid w:val="00BE4877"/>
    <w:rsid w:val="00BE750C"/>
    <w:rsid w:val="00BE7C9C"/>
    <w:rsid w:val="00BF4121"/>
    <w:rsid w:val="00BF6043"/>
    <w:rsid w:val="00BF617E"/>
    <w:rsid w:val="00BF634B"/>
    <w:rsid w:val="00BF65CF"/>
    <w:rsid w:val="00BF7481"/>
    <w:rsid w:val="00C0081D"/>
    <w:rsid w:val="00C0218E"/>
    <w:rsid w:val="00C05C89"/>
    <w:rsid w:val="00C068A8"/>
    <w:rsid w:val="00C0718D"/>
    <w:rsid w:val="00C11CF5"/>
    <w:rsid w:val="00C12180"/>
    <w:rsid w:val="00C138B9"/>
    <w:rsid w:val="00C14DAF"/>
    <w:rsid w:val="00C152E3"/>
    <w:rsid w:val="00C1562C"/>
    <w:rsid w:val="00C16B9B"/>
    <w:rsid w:val="00C21004"/>
    <w:rsid w:val="00C21758"/>
    <w:rsid w:val="00C227B0"/>
    <w:rsid w:val="00C22F62"/>
    <w:rsid w:val="00C232A5"/>
    <w:rsid w:val="00C23642"/>
    <w:rsid w:val="00C24DBD"/>
    <w:rsid w:val="00C250F7"/>
    <w:rsid w:val="00C27D2A"/>
    <w:rsid w:val="00C30D80"/>
    <w:rsid w:val="00C32658"/>
    <w:rsid w:val="00C33FF0"/>
    <w:rsid w:val="00C362D3"/>
    <w:rsid w:val="00C3789F"/>
    <w:rsid w:val="00C4034B"/>
    <w:rsid w:val="00C43C9D"/>
    <w:rsid w:val="00C44A93"/>
    <w:rsid w:val="00C4531D"/>
    <w:rsid w:val="00C45C3A"/>
    <w:rsid w:val="00C5189D"/>
    <w:rsid w:val="00C520B5"/>
    <w:rsid w:val="00C53CCF"/>
    <w:rsid w:val="00C5581D"/>
    <w:rsid w:val="00C5756A"/>
    <w:rsid w:val="00C57650"/>
    <w:rsid w:val="00C576D3"/>
    <w:rsid w:val="00C60287"/>
    <w:rsid w:val="00C6039B"/>
    <w:rsid w:val="00C66959"/>
    <w:rsid w:val="00C66B7A"/>
    <w:rsid w:val="00C67736"/>
    <w:rsid w:val="00C700D6"/>
    <w:rsid w:val="00C73D87"/>
    <w:rsid w:val="00C746F7"/>
    <w:rsid w:val="00C7534B"/>
    <w:rsid w:val="00C75A20"/>
    <w:rsid w:val="00C76AEF"/>
    <w:rsid w:val="00C76C83"/>
    <w:rsid w:val="00C76E5E"/>
    <w:rsid w:val="00C838E1"/>
    <w:rsid w:val="00C852C7"/>
    <w:rsid w:val="00C8597B"/>
    <w:rsid w:val="00C869D1"/>
    <w:rsid w:val="00C86FCF"/>
    <w:rsid w:val="00C87608"/>
    <w:rsid w:val="00C87933"/>
    <w:rsid w:val="00C91546"/>
    <w:rsid w:val="00C92722"/>
    <w:rsid w:val="00C93C3F"/>
    <w:rsid w:val="00C93CF4"/>
    <w:rsid w:val="00C94130"/>
    <w:rsid w:val="00C94BD6"/>
    <w:rsid w:val="00C94F2A"/>
    <w:rsid w:val="00C952E0"/>
    <w:rsid w:val="00C960D0"/>
    <w:rsid w:val="00CA02B5"/>
    <w:rsid w:val="00CA02E4"/>
    <w:rsid w:val="00CA159F"/>
    <w:rsid w:val="00CA219F"/>
    <w:rsid w:val="00CA26D2"/>
    <w:rsid w:val="00CA5204"/>
    <w:rsid w:val="00CA5970"/>
    <w:rsid w:val="00CB72FE"/>
    <w:rsid w:val="00CC0F39"/>
    <w:rsid w:val="00CC1384"/>
    <w:rsid w:val="00CC355E"/>
    <w:rsid w:val="00CC3731"/>
    <w:rsid w:val="00CC5732"/>
    <w:rsid w:val="00CC625D"/>
    <w:rsid w:val="00CD32D2"/>
    <w:rsid w:val="00CD371D"/>
    <w:rsid w:val="00CD6A25"/>
    <w:rsid w:val="00CD6CB9"/>
    <w:rsid w:val="00CE312A"/>
    <w:rsid w:val="00CE5941"/>
    <w:rsid w:val="00CE7D0E"/>
    <w:rsid w:val="00CF0086"/>
    <w:rsid w:val="00CF09EC"/>
    <w:rsid w:val="00CF1BC7"/>
    <w:rsid w:val="00CF2543"/>
    <w:rsid w:val="00CF2FC4"/>
    <w:rsid w:val="00CF3347"/>
    <w:rsid w:val="00CF3B30"/>
    <w:rsid w:val="00CF735B"/>
    <w:rsid w:val="00D01784"/>
    <w:rsid w:val="00D02787"/>
    <w:rsid w:val="00D02873"/>
    <w:rsid w:val="00D035A9"/>
    <w:rsid w:val="00D04303"/>
    <w:rsid w:val="00D04574"/>
    <w:rsid w:val="00D0499A"/>
    <w:rsid w:val="00D057C3"/>
    <w:rsid w:val="00D05866"/>
    <w:rsid w:val="00D10DE3"/>
    <w:rsid w:val="00D12A27"/>
    <w:rsid w:val="00D1390E"/>
    <w:rsid w:val="00D13D9E"/>
    <w:rsid w:val="00D14502"/>
    <w:rsid w:val="00D1582D"/>
    <w:rsid w:val="00D16B31"/>
    <w:rsid w:val="00D17A58"/>
    <w:rsid w:val="00D20BB1"/>
    <w:rsid w:val="00D22E2C"/>
    <w:rsid w:val="00D2365E"/>
    <w:rsid w:val="00D244CF"/>
    <w:rsid w:val="00D2557B"/>
    <w:rsid w:val="00D27A40"/>
    <w:rsid w:val="00D300D1"/>
    <w:rsid w:val="00D342D6"/>
    <w:rsid w:val="00D36470"/>
    <w:rsid w:val="00D43904"/>
    <w:rsid w:val="00D43E6D"/>
    <w:rsid w:val="00D43F9B"/>
    <w:rsid w:val="00D5151F"/>
    <w:rsid w:val="00D52143"/>
    <w:rsid w:val="00D52242"/>
    <w:rsid w:val="00D534DA"/>
    <w:rsid w:val="00D56EE5"/>
    <w:rsid w:val="00D57C82"/>
    <w:rsid w:val="00D57C97"/>
    <w:rsid w:val="00D60374"/>
    <w:rsid w:val="00D60408"/>
    <w:rsid w:val="00D612D7"/>
    <w:rsid w:val="00D63298"/>
    <w:rsid w:val="00D635A5"/>
    <w:rsid w:val="00D642DE"/>
    <w:rsid w:val="00D659F9"/>
    <w:rsid w:val="00D66645"/>
    <w:rsid w:val="00D71819"/>
    <w:rsid w:val="00D71F5D"/>
    <w:rsid w:val="00D7277B"/>
    <w:rsid w:val="00D74BC6"/>
    <w:rsid w:val="00D7770B"/>
    <w:rsid w:val="00D80071"/>
    <w:rsid w:val="00D801B3"/>
    <w:rsid w:val="00D82521"/>
    <w:rsid w:val="00D82587"/>
    <w:rsid w:val="00D87FC8"/>
    <w:rsid w:val="00D9122D"/>
    <w:rsid w:val="00D91DAE"/>
    <w:rsid w:val="00D938D6"/>
    <w:rsid w:val="00D93E78"/>
    <w:rsid w:val="00D93EF9"/>
    <w:rsid w:val="00D942D5"/>
    <w:rsid w:val="00D9649B"/>
    <w:rsid w:val="00DB2DF8"/>
    <w:rsid w:val="00DB2F3D"/>
    <w:rsid w:val="00DB57F0"/>
    <w:rsid w:val="00DB5944"/>
    <w:rsid w:val="00DB6E83"/>
    <w:rsid w:val="00DC06DE"/>
    <w:rsid w:val="00DC4283"/>
    <w:rsid w:val="00DC748F"/>
    <w:rsid w:val="00DD3816"/>
    <w:rsid w:val="00DD4C8F"/>
    <w:rsid w:val="00DD4FBA"/>
    <w:rsid w:val="00DE1400"/>
    <w:rsid w:val="00DE3C95"/>
    <w:rsid w:val="00DE4E82"/>
    <w:rsid w:val="00DE6666"/>
    <w:rsid w:val="00DE70D9"/>
    <w:rsid w:val="00DF06FD"/>
    <w:rsid w:val="00DF28A8"/>
    <w:rsid w:val="00DF352A"/>
    <w:rsid w:val="00DF5B51"/>
    <w:rsid w:val="00DF74F6"/>
    <w:rsid w:val="00E01C1A"/>
    <w:rsid w:val="00E01D44"/>
    <w:rsid w:val="00E045E8"/>
    <w:rsid w:val="00E059B3"/>
    <w:rsid w:val="00E06E0A"/>
    <w:rsid w:val="00E073AB"/>
    <w:rsid w:val="00E127BC"/>
    <w:rsid w:val="00E14201"/>
    <w:rsid w:val="00E147BD"/>
    <w:rsid w:val="00E15835"/>
    <w:rsid w:val="00E161EA"/>
    <w:rsid w:val="00E1626C"/>
    <w:rsid w:val="00E1695C"/>
    <w:rsid w:val="00E17B7A"/>
    <w:rsid w:val="00E2164B"/>
    <w:rsid w:val="00E2349F"/>
    <w:rsid w:val="00E24AA4"/>
    <w:rsid w:val="00E2545F"/>
    <w:rsid w:val="00E25AA9"/>
    <w:rsid w:val="00E275E0"/>
    <w:rsid w:val="00E31024"/>
    <w:rsid w:val="00E34432"/>
    <w:rsid w:val="00E347E4"/>
    <w:rsid w:val="00E34CEF"/>
    <w:rsid w:val="00E36679"/>
    <w:rsid w:val="00E37009"/>
    <w:rsid w:val="00E41C42"/>
    <w:rsid w:val="00E441F3"/>
    <w:rsid w:val="00E444F7"/>
    <w:rsid w:val="00E45567"/>
    <w:rsid w:val="00E47491"/>
    <w:rsid w:val="00E47B6D"/>
    <w:rsid w:val="00E52999"/>
    <w:rsid w:val="00E54F90"/>
    <w:rsid w:val="00E55ECA"/>
    <w:rsid w:val="00E57E8F"/>
    <w:rsid w:val="00E604B3"/>
    <w:rsid w:val="00E610B7"/>
    <w:rsid w:val="00E616FE"/>
    <w:rsid w:val="00E61E09"/>
    <w:rsid w:val="00E62FEA"/>
    <w:rsid w:val="00E64788"/>
    <w:rsid w:val="00E64A32"/>
    <w:rsid w:val="00E70722"/>
    <w:rsid w:val="00E719CB"/>
    <w:rsid w:val="00E73256"/>
    <w:rsid w:val="00E7508F"/>
    <w:rsid w:val="00E76E7B"/>
    <w:rsid w:val="00E7739C"/>
    <w:rsid w:val="00E775F3"/>
    <w:rsid w:val="00E77E16"/>
    <w:rsid w:val="00E77E7B"/>
    <w:rsid w:val="00E8010F"/>
    <w:rsid w:val="00E80B26"/>
    <w:rsid w:val="00E86879"/>
    <w:rsid w:val="00E8748D"/>
    <w:rsid w:val="00E90B02"/>
    <w:rsid w:val="00E90C1B"/>
    <w:rsid w:val="00E92067"/>
    <w:rsid w:val="00E9313A"/>
    <w:rsid w:val="00E93C23"/>
    <w:rsid w:val="00E94836"/>
    <w:rsid w:val="00E961E8"/>
    <w:rsid w:val="00E9642E"/>
    <w:rsid w:val="00E97496"/>
    <w:rsid w:val="00E97FD0"/>
    <w:rsid w:val="00EA06D2"/>
    <w:rsid w:val="00EA1A88"/>
    <w:rsid w:val="00EA1DE7"/>
    <w:rsid w:val="00EA2CF9"/>
    <w:rsid w:val="00EA4421"/>
    <w:rsid w:val="00EA5A52"/>
    <w:rsid w:val="00EA5E6F"/>
    <w:rsid w:val="00EB2A92"/>
    <w:rsid w:val="00EB4085"/>
    <w:rsid w:val="00EB4944"/>
    <w:rsid w:val="00EB5536"/>
    <w:rsid w:val="00EB5CC3"/>
    <w:rsid w:val="00EB6AFA"/>
    <w:rsid w:val="00EB6D5F"/>
    <w:rsid w:val="00EC1101"/>
    <w:rsid w:val="00EC18DB"/>
    <w:rsid w:val="00EC1908"/>
    <w:rsid w:val="00EC30A2"/>
    <w:rsid w:val="00EC3131"/>
    <w:rsid w:val="00EC348D"/>
    <w:rsid w:val="00EC3B95"/>
    <w:rsid w:val="00EC3D92"/>
    <w:rsid w:val="00EC56F9"/>
    <w:rsid w:val="00ED1BE6"/>
    <w:rsid w:val="00ED20FB"/>
    <w:rsid w:val="00ED22A4"/>
    <w:rsid w:val="00ED3C86"/>
    <w:rsid w:val="00ED46B0"/>
    <w:rsid w:val="00ED7BBC"/>
    <w:rsid w:val="00EE0035"/>
    <w:rsid w:val="00EE43D4"/>
    <w:rsid w:val="00EE4A1D"/>
    <w:rsid w:val="00EE69B1"/>
    <w:rsid w:val="00EF2A87"/>
    <w:rsid w:val="00EF2CED"/>
    <w:rsid w:val="00EF31ED"/>
    <w:rsid w:val="00F013B9"/>
    <w:rsid w:val="00F01FA3"/>
    <w:rsid w:val="00F0399D"/>
    <w:rsid w:val="00F13E96"/>
    <w:rsid w:val="00F16D70"/>
    <w:rsid w:val="00F17FC3"/>
    <w:rsid w:val="00F243CA"/>
    <w:rsid w:val="00F245F7"/>
    <w:rsid w:val="00F248FD"/>
    <w:rsid w:val="00F25CCF"/>
    <w:rsid w:val="00F262CC"/>
    <w:rsid w:val="00F26A66"/>
    <w:rsid w:val="00F31893"/>
    <w:rsid w:val="00F32600"/>
    <w:rsid w:val="00F32D4A"/>
    <w:rsid w:val="00F32F21"/>
    <w:rsid w:val="00F32F3D"/>
    <w:rsid w:val="00F3696E"/>
    <w:rsid w:val="00F379F6"/>
    <w:rsid w:val="00F37CDD"/>
    <w:rsid w:val="00F404E1"/>
    <w:rsid w:val="00F41998"/>
    <w:rsid w:val="00F42845"/>
    <w:rsid w:val="00F43EAF"/>
    <w:rsid w:val="00F46A44"/>
    <w:rsid w:val="00F47E07"/>
    <w:rsid w:val="00F52244"/>
    <w:rsid w:val="00F5399B"/>
    <w:rsid w:val="00F54A84"/>
    <w:rsid w:val="00F570A6"/>
    <w:rsid w:val="00F63380"/>
    <w:rsid w:val="00F636A2"/>
    <w:rsid w:val="00F64009"/>
    <w:rsid w:val="00F647D0"/>
    <w:rsid w:val="00F65F8D"/>
    <w:rsid w:val="00F661F5"/>
    <w:rsid w:val="00F6776E"/>
    <w:rsid w:val="00F72576"/>
    <w:rsid w:val="00F7333A"/>
    <w:rsid w:val="00F73796"/>
    <w:rsid w:val="00F73F93"/>
    <w:rsid w:val="00F758E9"/>
    <w:rsid w:val="00F75F2D"/>
    <w:rsid w:val="00F7673F"/>
    <w:rsid w:val="00F76876"/>
    <w:rsid w:val="00F7752F"/>
    <w:rsid w:val="00F81898"/>
    <w:rsid w:val="00F81EF1"/>
    <w:rsid w:val="00F8384F"/>
    <w:rsid w:val="00F85EA8"/>
    <w:rsid w:val="00F8644C"/>
    <w:rsid w:val="00F86892"/>
    <w:rsid w:val="00F87AC8"/>
    <w:rsid w:val="00F92CAB"/>
    <w:rsid w:val="00F94F82"/>
    <w:rsid w:val="00F9553C"/>
    <w:rsid w:val="00F9795C"/>
    <w:rsid w:val="00FA20C5"/>
    <w:rsid w:val="00FA3E9E"/>
    <w:rsid w:val="00FA46C1"/>
    <w:rsid w:val="00FA55F6"/>
    <w:rsid w:val="00FA723D"/>
    <w:rsid w:val="00FA75DE"/>
    <w:rsid w:val="00FA7A25"/>
    <w:rsid w:val="00FA7BE6"/>
    <w:rsid w:val="00FA7CD3"/>
    <w:rsid w:val="00FB06E4"/>
    <w:rsid w:val="00FB3B0B"/>
    <w:rsid w:val="00FB41CE"/>
    <w:rsid w:val="00FC29B2"/>
    <w:rsid w:val="00FC2F36"/>
    <w:rsid w:val="00FC3DB4"/>
    <w:rsid w:val="00FC5B0B"/>
    <w:rsid w:val="00FC6ADB"/>
    <w:rsid w:val="00FD1AC6"/>
    <w:rsid w:val="00FD1C4B"/>
    <w:rsid w:val="00FD1F29"/>
    <w:rsid w:val="00FD23B9"/>
    <w:rsid w:val="00FD2E83"/>
    <w:rsid w:val="00FD2F04"/>
    <w:rsid w:val="00FD355A"/>
    <w:rsid w:val="00FD4ACE"/>
    <w:rsid w:val="00FD675E"/>
    <w:rsid w:val="00FD799B"/>
    <w:rsid w:val="00FE0661"/>
    <w:rsid w:val="00FE0BE9"/>
    <w:rsid w:val="00FE141D"/>
    <w:rsid w:val="00FE33D3"/>
    <w:rsid w:val="00FE5708"/>
    <w:rsid w:val="00FE6760"/>
    <w:rsid w:val="00FE6ACA"/>
    <w:rsid w:val="00FE6E13"/>
    <w:rsid w:val="00FE7375"/>
    <w:rsid w:val="00FF203E"/>
    <w:rsid w:val="00FF405F"/>
    <w:rsid w:val="00FF6178"/>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D4AD"/>
  <w15:docId w15:val="{C6C5537C-58B3-4CDC-962B-1103191D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8">
    <w:name w:val="Pa8"/>
    <w:basedOn w:val="Default"/>
    <w:next w:val="Default"/>
    <w:uiPriority w:val="99"/>
    <w:rsid w:val="00726B2C"/>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DD38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45689">
      <w:bodyDiv w:val="1"/>
      <w:marLeft w:val="0"/>
      <w:marRight w:val="0"/>
      <w:marTop w:val="0"/>
      <w:marBottom w:val="0"/>
      <w:divBdr>
        <w:top w:val="none" w:sz="0" w:space="0" w:color="auto"/>
        <w:left w:val="none" w:sz="0" w:space="0" w:color="auto"/>
        <w:bottom w:val="none" w:sz="0" w:space="0" w:color="auto"/>
        <w:right w:val="none" w:sz="0" w:space="0" w:color="auto"/>
      </w:divBdr>
      <w:divsChild>
        <w:div w:id="579678415">
          <w:marLeft w:val="0"/>
          <w:marRight w:val="0"/>
          <w:marTop w:val="0"/>
          <w:marBottom w:val="0"/>
          <w:divBdr>
            <w:top w:val="none" w:sz="0" w:space="0" w:color="auto"/>
            <w:left w:val="none" w:sz="0" w:space="0" w:color="auto"/>
            <w:bottom w:val="none" w:sz="0" w:space="0" w:color="auto"/>
            <w:right w:val="none" w:sz="0" w:space="0" w:color="auto"/>
          </w:divBdr>
          <w:divsChild>
            <w:div w:id="1213731485">
              <w:marLeft w:val="0"/>
              <w:marRight w:val="0"/>
              <w:marTop w:val="0"/>
              <w:marBottom w:val="0"/>
              <w:divBdr>
                <w:top w:val="none" w:sz="0" w:space="0" w:color="auto"/>
                <w:left w:val="none" w:sz="0" w:space="0" w:color="auto"/>
                <w:bottom w:val="none" w:sz="0" w:space="0" w:color="auto"/>
                <w:right w:val="none" w:sz="0" w:space="0" w:color="auto"/>
              </w:divBdr>
              <w:divsChild>
                <w:div w:id="705763688">
                  <w:marLeft w:val="0"/>
                  <w:marRight w:val="0"/>
                  <w:marTop w:val="0"/>
                  <w:marBottom w:val="0"/>
                  <w:divBdr>
                    <w:top w:val="none" w:sz="0" w:space="0" w:color="auto"/>
                    <w:left w:val="none" w:sz="0" w:space="0" w:color="auto"/>
                    <w:bottom w:val="none" w:sz="0" w:space="0" w:color="auto"/>
                    <w:right w:val="none" w:sz="0" w:space="0" w:color="auto"/>
                  </w:divBdr>
                  <w:divsChild>
                    <w:div w:id="1306157821">
                      <w:marLeft w:val="0"/>
                      <w:marRight w:val="0"/>
                      <w:marTop w:val="0"/>
                      <w:marBottom w:val="0"/>
                      <w:divBdr>
                        <w:top w:val="none" w:sz="0" w:space="0" w:color="auto"/>
                        <w:left w:val="none" w:sz="0" w:space="0" w:color="auto"/>
                        <w:bottom w:val="none" w:sz="0" w:space="0" w:color="auto"/>
                        <w:right w:val="none" w:sz="0" w:space="0" w:color="auto"/>
                      </w:divBdr>
                      <w:divsChild>
                        <w:div w:id="1296568597">
                          <w:marLeft w:val="0"/>
                          <w:marRight w:val="0"/>
                          <w:marTop w:val="0"/>
                          <w:marBottom w:val="0"/>
                          <w:divBdr>
                            <w:top w:val="none" w:sz="0" w:space="0" w:color="auto"/>
                            <w:left w:val="none" w:sz="0" w:space="0" w:color="auto"/>
                            <w:bottom w:val="none" w:sz="0" w:space="0" w:color="auto"/>
                            <w:right w:val="none" w:sz="0" w:space="0" w:color="auto"/>
                          </w:divBdr>
                          <w:divsChild>
                            <w:div w:id="972711028">
                              <w:marLeft w:val="0"/>
                              <w:marRight w:val="0"/>
                              <w:marTop w:val="0"/>
                              <w:marBottom w:val="0"/>
                              <w:divBdr>
                                <w:top w:val="none" w:sz="0" w:space="0" w:color="auto"/>
                                <w:left w:val="none" w:sz="0" w:space="0" w:color="auto"/>
                                <w:bottom w:val="none" w:sz="0" w:space="0" w:color="auto"/>
                                <w:right w:val="none" w:sz="0" w:space="0" w:color="auto"/>
                              </w:divBdr>
                              <w:divsChild>
                                <w:div w:id="1232042718">
                                  <w:marLeft w:val="0"/>
                                  <w:marRight w:val="0"/>
                                  <w:marTop w:val="0"/>
                                  <w:marBottom w:val="0"/>
                                  <w:divBdr>
                                    <w:top w:val="none" w:sz="0" w:space="0" w:color="auto"/>
                                    <w:left w:val="none" w:sz="0" w:space="0" w:color="auto"/>
                                    <w:bottom w:val="none" w:sz="0" w:space="0" w:color="auto"/>
                                    <w:right w:val="none" w:sz="0" w:space="0" w:color="auto"/>
                                  </w:divBdr>
                                  <w:divsChild>
                                    <w:div w:id="1194535988">
                                      <w:marLeft w:val="0"/>
                                      <w:marRight w:val="0"/>
                                      <w:marTop w:val="0"/>
                                      <w:marBottom w:val="0"/>
                                      <w:divBdr>
                                        <w:top w:val="none" w:sz="0" w:space="0" w:color="auto"/>
                                        <w:left w:val="none" w:sz="0" w:space="0" w:color="auto"/>
                                        <w:bottom w:val="none" w:sz="0" w:space="0" w:color="auto"/>
                                        <w:right w:val="none" w:sz="0" w:space="0" w:color="auto"/>
                                      </w:divBdr>
                                      <w:divsChild>
                                        <w:div w:id="1843354842">
                                          <w:marLeft w:val="0"/>
                                          <w:marRight w:val="0"/>
                                          <w:marTop w:val="0"/>
                                          <w:marBottom w:val="0"/>
                                          <w:divBdr>
                                            <w:top w:val="none" w:sz="0" w:space="0" w:color="auto"/>
                                            <w:left w:val="single" w:sz="6" w:space="0" w:color="999999"/>
                                            <w:bottom w:val="none" w:sz="0" w:space="0" w:color="auto"/>
                                            <w:right w:val="none" w:sz="0" w:space="0" w:color="auto"/>
                                          </w:divBdr>
                                          <w:divsChild>
                                            <w:div w:id="1084647184">
                                              <w:marLeft w:val="0"/>
                                              <w:marRight w:val="0"/>
                                              <w:marTop w:val="150"/>
                                              <w:marBottom w:val="150"/>
                                              <w:divBdr>
                                                <w:top w:val="none" w:sz="0" w:space="0" w:color="auto"/>
                                                <w:left w:val="none" w:sz="0" w:space="0" w:color="auto"/>
                                                <w:bottom w:val="none" w:sz="0" w:space="0" w:color="auto"/>
                                                <w:right w:val="none" w:sz="0" w:space="0" w:color="auto"/>
                                              </w:divBdr>
                                              <w:divsChild>
                                                <w:div w:id="1511795436">
                                                  <w:marLeft w:val="0"/>
                                                  <w:marRight w:val="0"/>
                                                  <w:marTop w:val="0"/>
                                                  <w:marBottom w:val="0"/>
                                                  <w:divBdr>
                                                    <w:top w:val="none" w:sz="0" w:space="0" w:color="auto"/>
                                                    <w:left w:val="none" w:sz="0" w:space="0" w:color="auto"/>
                                                    <w:bottom w:val="none" w:sz="0" w:space="0" w:color="auto"/>
                                                    <w:right w:val="none" w:sz="0" w:space="0" w:color="auto"/>
                                                  </w:divBdr>
                                                  <w:divsChild>
                                                    <w:div w:id="15950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618697">
      <w:bodyDiv w:val="1"/>
      <w:marLeft w:val="0"/>
      <w:marRight w:val="0"/>
      <w:marTop w:val="0"/>
      <w:marBottom w:val="0"/>
      <w:divBdr>
        <w:top w:val="none" w:sz="0" w:space="0" w:color="auto"/>
        <w:left w:val="none" w:sz="0" w:space="0" w:color="auto"/>
        <w:bottom w:val="none" w:sz="0" w:space="0" w:color="auto"/>
        <w:right w:val="none" w:sz="0" w:space="0" w:color="auto"/>
      </w:divBdr>
      <w:divsChild>
        <w:div w:id="126550587">
          <w:marLeft w:val="0"/>
          <w:marRight w:val="0"/>
          <w:marTop w:val="0"/>
          <w:marBottom w:val="0"/>
          <w:divBdr>
            <w:top w:val="none" w:sz="0" w:space="0" w:color="auto"/>
            <w:left w:val="none" w:sz="0" w:space="0" w:color="auto"/>
            <w:bottom w:val="none" w:sz="0" w:space="0" w:color="auto"/>
            <w:right w:val="none" w:sz="0" w:space="0" w:color="auto"/>
          </w:divBdr>
          <w:divsChild>
            <w:div w:id="245850589">
              <w:marLeft w:val="0"/>
              <w:marRight w:val="0"/>
              <w:marTop w:val="0"/>
              <w:marBottom w:val="0"/>
              <w:divBdr>
                <w:top w:val="none" w:sz="0" w:space="0" w:color="auto"/>
                <w:left w:val="none" w:sz="0" w:space="0" w:color="auto"/>
                <w:bottom w:val="none" w:sz="0" w:space="0" w:color="auto"/>
                <w:right w:val="none" w:sz="0" w:space="0" w:color="auto"/>
              </w:divBdr>
              <w:divsChild>
                <w:div w:id="192617307">
                  <w:marLeft w:val="0"/>
                  <w:marRight w:val="0"/>
                  <w:marTop w:val="0"/>
                  <w:marBottom w:val="0"/>
                  <w:divBdr>
                    <w:top w:val="none" w:sz="0" w:space="0" w:color="auto"/>
                    <w:left w:val="none" w:sz="0" w:space="0" w:color="auto"/>
                    <w:bottom w:val="none" w:sz="0" w:space="0" w:color="auto"/>
                    <w:right w:val="none" w:sz="0" w:space="0" w:color="auto"/>
                  </w:divBdr>
                  <w:divsChild>
                    <w:div w:id="161630734">
                      <w:marLeft w:val="0"/>
                      <w:marRight w:val="0"/>
                      <w:marTop w:val="0"/>
                      <w:marBottom w:val="0"/>
                      <w:divBdr>
                        <w:top w:val="none" w:sz="0" w:space="0" w:color="auto"/>
                        <w:left w:val="none" w:sz="0" w:space="0" w:color="auto"/>
                        <w:bottom w:val="none" w:sz="0" w:space="0" w:color="auto"/>
                        <w:right w:val="none" w:sz="0" w:space="0" w:color="auto"/>
                      </w:divBdr>
                      <w:divsChild>
                        <w:div w:id="1420322967">
                          <w:marLeft w:val="0"/>
                          <w:marRight w:val="0"/>
                          <w:marTop w:val="0"/>
                          <w:marBottom w:val="0"/>
                          <w:divBdr>
                            <w:top w:val="none" w:sz="0" w:space="0" w:color="auto"/>
                            <w:left w:val="none" w:sz="0" w:space="0" w:color="auto"/>
                            <w:bottom w:val="none" w:sz="0" w:space="0" w:color="auto"/>
                            <w:right w:val="none" w:sz="0" w:space="0" w:color="auto"/>
                          </w:divBdr>
                          <w:divsChild>
                            <w:div w:id="742147262">
                              <w:marLeft w:val="0"/>
                              <w:marRight w:val="0"/>
                              <w:marTop w:val="0"/>
                              <w:marBottom w:val="0"/>
                              <w:divBdr>
                                <w:top w:val="none" w:sz="0" w:space="0" w:color="auto"/>
                                <w:left w:val="none" w:sz="0" w:space="0" w:color="auto"/>
                                <w:bottom w:val="none" w:sz="0" w:space="0" w:color="auto"/>
                                <w:right w:val="none" w:sz="0" w:space="0" w:color="auto"/>
                              </w:divBdr>
                              <w:divsChild>
                                <w:div w:id="777412936">
                                  <w:marLeft w:val="0"/>
                                  <w:marRight w:val="0"/>
                                  <w:marTop w:val="0"/>
                                  <w:marBottom w:val="0"/>
                                  <w:divBdr>
                                    <w:top w:val="none" w:sz="0" w:space="0" w:color="auto"/>
                                    <w:left w:val="none" w:sz="0" w:space="0" w:color="auto"/>
                                    <w:bottom w:val="none" w:sz="0" w:space="0" w:color="auto"/>
                                    <w:right w:val="none" w:sz="0" w:space="0" w:color="auto"/>
                                  </w:divBdr>
                                  <w:divsChild>
                                    <w:div w:id="1096287367">
                                      <w:marLeft w:val="0"/>
                                      <w:marRight w:val="0"/>
                                      <w:marTop w:val="0"/>
                                      <w:marBottom w:val="0"/>
                                      <w:divBdr>
                                        <w:top w:val="none" w:sz="0" w:space="0" w:color="auto"/>
                                        <w:left w:val="none" w:sz="0" w:space="0" w:color="auto"/>
                                        <w:bottom w:val="none" w:sz="0" w:space="0" w:color="auto"/>
                                        <w:right w:val="none" w:sz="0" w:space="0" w:color="auto"/>
                                      </w:divBdr>
                                      <w:divsChild>
                                        <w:div w:id="1836457634">
                                          <w:marLeft w:val="0"/>
                                          <w:marRight w:val="0"/>
                                          <w:marTop w:val="0"/>
                                          <w:marBottom w:val="0"/>
                                          <w:divBdr>
                                            <w:top w:val="none" w:sz="0" w:space="0" w:color="auto"/>
                                            <w:left w:val="single" w:sz="6" w:space="0" w:color="999999"/>
                                            <w:bottom w:val="none" w:sz="0" w:space="0" w:color="auto"/>
                                            <w:right w:val="none" w:sz="0" w:space="0" w:color="auto"/>
                                          </w:divBdr>
                                          <w:divsChild>
                                            <w:div w:id="1329796510">
                                              <w:marLeft w:val="0"/>
                                              <w:marRight w:val="0"/>
                                              <w:marTop w:val="150"/>
                                              <w:marBottom w:val="150"/>
                                              <w:divBdr>
                                                <w:top w:val="none" w:sz="0" w:space="0" w:color="auto"/>
                                                <w:left w:val="none" w:sz="0" w:space="0" w:color="auto"/>
                                                <w:bottom w:val="none" w:sz="0" w:space="0" w:color="auto"/>
                                                <w:right w:val="none" w:sz="0" w:space="0" w:color="auto"/>
                                              </w:divBdr>
                                              <w:divsChild>
                                                <w:div w:id="1247611787">
                                                  <w:marLeft w:val="0"/>
                                                  <w:marRight w:val="0"/>
                                                  <w:marTop w:val="0"/>
                                                  <w:marBottom w:val="0"/>
                                                  <w:divBdr>
                                                    <w:top w:val="none" w:sz="0" w:space="0" w:color="auto"/>
                                                    <w:left w:val="none" w:sz="0" w:space="0" w:color="auto"/>
                                                    <w:bottom w:val="none" w:sz="0" w:space="0" w:color="auto"/>
                                                    <w:right w:val="none" w:sz="0" w:space="0" w:color="auto"/>
                                                  </w:divBdr>
                                                  <w:divsChild>
                                                    <w:div w:id="275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67073">
      <w:bodyDiv w:val="1"/>
      <w:marLeft w:val="0"/>
      <w:marRight w:val="0"/>
      <w:marTop w:val="0"/>
      <w:marBottom w:val="0"/>
      <w:divBdr>
        <w:top w:val="none" w:sz="0" w:space="0" w:color="auto"/>
        <w:left w:val="none" w:sz="0" w:space="0" w:color="auto"/>
        <w:bottom w:val="none" w:sz="0" w:space="0" w:color="auto"/>
        <w:right w:val="none" w:sz="0" w:space="0" w:color="auto"/>
      </w:divBdr>
      <w:divsChild>
        <w:div w:id="1266768471">
          <w:marLeft w:val="0"/>
          <w:marRight w:val="0"/>
          <w:marTop w:val="0"/>
          <w:marBottom w:val="0"/>
          <w:divBdr>
            <w:top w:val="none" w:sz="0" w:space="0" w:color="auto"/>
            <w:left w:val="none" w:sz="0" w:space="0" w:color="auto"/>
            <w:bottom w:val="none" w:sz="0" w:space="0" w:color="auto"/>
            <w:right w:val="none" w:sz="0" w:space="0" w:color="auto"/>
          </w:divBdr>
          <w:divsChild>
            <w:div w:id="1796826444">
              <w:marLeft w:val="0"/>
              <w:marRight w:val="0"/>
              <w:marTop w:val="0"/>
              <w:marBottom w:val="0"/>
              <w:divBdr>
                <w:top w:val="none" w:sz="0" w:space="0" w:color="auto"/>
                <w:left w:val="none" w:sz="0" w:space="0" w:color="auto"/>
                <w:bottom w:val="none" w:sz="0" w:space="0" w:color="auto"/>
                <w:right w:val="none" w:sz="0" w:space="0" w:color="auto"/>
              </w:divBdr>
              <w:divsChild>
                <w:div w:id="802893500">
                  <w:marLeft w:val="0"/>
                  <w:marRight w:val="0"/>
                  <w:marTop w:val="0"/>
                  <w:marBottom w:val="0"/>
                  <w:divBdr>
                    <w:top w:val="none" w:sz="0" w:space="0" w:color="auto"/>
                    <w:left w:val="none" w:sz="0" w:space="0" w:color="auto"/>
                    <w:bottom w:val="none" w:sz="0" w:space="0" w:color="auto"/>
                    <w:right w:val="none" w:sz="0" w:space="0" w:color="auto"/>
                  </w:divBdr>
                  <w:divsChild>
                    <w:div w:id="520053441">
                      <w:marLeft w:val="0"/>
                      <w:marRight w:val="0"/>
                      <w:marTop w:val="0"/>
                      <w:marBottom w:val="0"/>
                      <w:divBdr>
                        <w:top w:val="none" w:sz="0" w:space="0" w:color="auto"/>
                        <w:left w:val="none" w:sz="0" w:space="0" w:color="auto"/>
                        <w:bottom w:val="none" w:sz="0" w:space="0" w:color="auto"/>
                        <w:right w:val="none" w:sz="0" w:space="0" w:color="auto"/>
                      </w:divBdr>
                      <w:divsChild>
                        <w:div w:id="884490766">
                          <w:marLeft w:val="0"/>
                          <w:marRight w:val="0"/>
                          <w:marTop w:val="0"/>
                          <w:marBottom w:val="0"/>
                          <w:divBdr>
                            <w:top w:val="none" w:sz="0" w:space="0" w:color="auto"/>
                            <w:left w:val="none" w:sz="0" w:space="0" w:color="auto"/>
                            <w:bottom w:val="none" w:sz="0" w:space="0" w:color="auto"/>
                            <w:right w:val="none" w:sz="0" w:space="0" w:color="auto"/>
                          </w:divBdr>
                          <w:divsChild>
                            <w:div w:id="206066308">
                              <w:marLeft w:val="0"/>
                              <w:marRight w:val="0"/>
                              <w:marTop w:val="0"/>
                              <w:marBottom w:val="0"/>
                              <w:divBdr>
                                <w:top w:val="none" w:sz="0" w:space="0" w:color="auto"/>
                                <w:left w:val="none" w:sz="0" w:space="0" w:color="auto"/>
                                <w:bottom w:val="none" w:sz="0" w:space="0" w:color="auto"/>
                                <w:right w:val="none" w:sz="0" w:space="0" w:color="auto"/>
                              </w:divBdr>
                              <w:divsChild>
                                <w:div w:id="97995041">
                                  <w:marLeft w:val="0"/>
                                  <w:marRight w:val="0"/>
                                  <w:marTop w:val="0"/>
                                  <w:marBottom w:val="0"/>
                                  <w:divBdr>
                                    <w:top w:val="none" w:sz="0" w:space="0" w:color="auto"/>
                                    <w:left w:val="none" w:sz="0" w:space="0" w:color="auto"/>
                                    <w:bottom w:val="none" w:sz="0" w:space="0" w:color="auto"/>
                                    <w:right w:val="none" w:sz="0" w:space="0" w:color="auto"/>
                                  </w:divBdr>
                                  <w:divsChild>
                                    <w:div w:id="952709000">
                                      <w:marLeft w:val="0"/>
                                      <w:marRight w:val="0"/>
                                      <w:marTop w:val="0"/>
                                      <w:marBottom w:val="0"/>
                                      <w:divBdr>
                                        <w:top w:val="none" w:sz="0" w:space="0" w:color="auto"/>
                                        <w:left w:val="none" w:sz="0" w:space="0" w:color="auto"/>
                                        <w:bottom w:val="none" w:sz="0" w:space="0" w:color="auto"/>
                                        <w:right w:val="none" w:sz="0" w:space="0" w:color="auto"/>
                                      </w:divBdr>
                                      <w:divsChild>
                                        <w:div w:id="1412238485">
                                          <w:marLeft w:val="0"/>
                                          <w:marRight w:val="0"/>
                                          <w:marTop w:val="0"/>
                                          <w:marBottom w:val="0"/>
                                          <w:divBdr>
                                            <w:top w:val="none" w:sz="0" w:space="0" w:color="auto"/>
                                            <w:left w:val="single" w:sz="6" w:space="0" w:color="999999"/>
                                            <w:bottom w:val="none" w:sz="0" w:space="0" w:color="auto"/>
                                            <w:right w:val="none" w:sz="0" w:space="0" w:color="auto"/>
                                          </w:divBdr>
                                          <w:divsChild>
                                            <w:div w:id="373695836">
                                              <w:marLeft w:val="0"/>
                                              <w:marRight w:val="0"/>
                                              <w:marTop w:val="150"/>
                                              <w:marBottom w:val="150"/>
                                              <w:divBdr>
                                                <w:top w:val="none" w:sz="0" w:space="0" w:color="auto"/>
                                                <w:left w:val="none" w:sz="0" w:space="0" w:color="auto"/>
                                                <w:bottom w:val="none" w:sz="0" w:space="0" w:color="auto"/>
                                                <w:right w:val="none" w:sz="0" w:space="0" w:color="auto"/>
                                              </w:divBdr>
                                              <w:divsChild>
                                                <w:div w:id="1103650533">
                                                  <w:marLeft w:val="0"/>
                                                  <w:marRight w:val="0"/>
                                                  <w:marTop w:val="0"/>
                                                  <w:marBottom w:val="0"/>
                                                  <w:divBdr>
                                                    <w:top w:val="none" w:sz="0" w:space="0" w:color="auto"/>
                                                    <w:left w:val="none" w:sz="0" w:space="0" w:color="auto"/>
                                                    <w:bottom w:val="none" w:sz="0" w:space="0" w:color="auto"/>
                                                    <w:right w:val="none" w:sz="0" w:space="0" w:color="auto"/>
                                                  </w:divBdr>
                                                  <w:divsChild>
                                                    <w:div w:id="13941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2850267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3576348">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31760319">
      <w:bodyDiv w:val="1"/>
      <w:marLeft w:val="0"/>
      <w:marRight w:val="0"/>
      <w:marTop w:val="0"/>
      <w:marBottom w:val="0"/>
      <w:divBdr>
        <w:top w:val="none" w:sz="0" w:space="0" w:color="auto"/>
        <w:left w:val="none" w:sz="0" w:space="0" w:color="auto"/>
        <w:bottom w:val="none" w:sz="0" w:space="0" w:color="auto"/>
        <w:right w:val="none" w:sz="0" w:space="0" w:color="auto"/>
      </w:divBdr>
      <w:divsChild>
        <w:div w:id="287862998">
          <w:marLeft w:val="0"/>
          <w:marRight w:val="0"/>
          <w:marTop w:val="0"/>
          <w:marBottom w:val="0"/>
          <w:divBdr>
            <w:top w:val="none" w:sz="0" w:space="0" w:color="auto"/>
            <w:left w:val="none" w:sz="0" w:space="0" w:color="auto"/>
            <w:bottom w:val="none" w:sz="0" w:space="0" w:color="auto"/>
            <w:right w:val="none" w:sz="0" w:space="0" w:color="auto"/>
          </w:divBdr>
          <w:divsChild>
            <w:div w:id="1224680164">
              <w:marLeft w:val="0"/>
              <w:marRight w:val="0"/>
              <w:marTop w:val="0"/>
              <w:marBottom w:val="0"/>
              <w:divBdr>
                <w:top w:val="none" w:sz="0" w:space="0" w:color="auto"/>
                <w:left w:val="none" w:sz="0" w:space="0" w:color="auto"/>
                <w:bottom w:val="none" w:sz="0" w:space="0" w:color="auto"/>
                <w:right w:val="none" w:sz="0" w:space="0" w:color="auto"/>
              </w:divBdr>
              <w:divsChild>
                <w:div w:id="1133254623">
                  <w:marLeft w:val="0"/>
                  <w:marRight w:val="0"/>
                  <w:marTop w:val="0"/>
                  <w:marBottom w:val="0"/>
                  <w:divBdr>
                    <w:top w:val="none" w:sz="0" w:space="0" w:color="auto"/>
                    <w:left w:val="none" w:sz="0" w:space="0" w:color="auto"/>
                    <w:bottom w:val="none" w:sz="0" w:space="0" w:color="auto"/>
                    <w:right w:val="none" w:sz="0" w:space="0" w:color="auto"/>
                  </w:divBdr>
                  <w:divsChild>
                    <w:div w:id="936327991">
                      <w:marLeft w:val="0"/>
                      <w:marRight w:val="0"/>
                      <w:marTop w:val="0"/>
                      <w:marBottom w:val="0"/>
                      <w:divBdr>
                        <w:top w:val="none" w:sz="0" w:space="0" w:color="auto"/>
                        <w:left w:val="none" w:sz="0" w:space="0" w:color="auto"/>
                        <w:bottom w:val="none" w:sz="0" w:space="0" w:color="auto"/>
                        <w:right w:val="none" w:sz="0" w:space="0" w:color="auto"/>
                      </w:divBdr>
                      <w:divsChild>
                        <w:div w:id="1841581136">
                          <w:marLeft w:val="0"/>
                          <w:marRight w:val="0"/>
                          <w:marTop w:val="0"/>
                          <w:marBottom w:val="0"/>
                          <w:divBdr>
                            <w:top w:val="none" w:sz="0" w:space="0" w:color="auto"/>
                            <w:left w:val="none" w:sz="0" w:space="0" w:color="auto"/>
                            <w:bottom w:val="none" w:sz="0" w:space="0" w:color="auto"/>
                            <w:right w:val="none" w:sz="0" w:space="0" w:color="auto"/>
                          </w:divBdr>
                          <w:divsChild>
                            <w:div w:id="1698578566">
                              <w:marLeft w:val="0"/>
                              <w:marRight w:val="0"/>
                              <w:marTop w:val="0"/>
                              <w:marBottom w:val="0"/>
                              <w:divBdr>
                                <w:top w:val="none" w:sz="0" w:space="0" w:color="auto"/>
                                <w:left w:val="none" w:sz="0" w:space="0" w:color="auto"/>
                                <w:bottom w:val="none" w:sz="0" w:space="0" w:color="auto"/>
                                <w:right w:val="none" w:sz="0" w:space="0" w:color="auto"/>
                              </w:divBdr>
                              <w:divsChild>
                                <w:div w:id="1025597102">
                                  <w:marLeft w:val="0"/>
                                  <w:marRight w:val="0"/>
                                  <w:marTop w:val="0"/>
                                  <w:marBottom w:val="0"/>
                                  <w:divBdr>
                                    <w:top w:val="none" w:sz="0" w:space="0" w:color="auto"/>
                                    <w:left w:val="none" w:sz="0" w:space="0" w:color="auto"/>
                                    <w:bottom w:val="none" w:sz="0" w:space="0" w:color="auto"/>
                                    <w:right w:val="none" w:sz="0" w:space="0" w:color="auto"/>
                                  </w:divBdr>
                                  <w:divsChild>
                                    <w:div w:id="1424455059">
                                      <w:marLeft w:val="0"/>
                                      <w:marRight w:val="0"/>
                                      <w:marTop w:val="0"/>
                                      <w:marBottom w:val="0"/>
                                      <w:divBdr>
                                        <w:top w:val="none" w:sz="0" w:space="0" w:color="auto"/>
                                        <w:left w:val="none" w:sz="0" w:space="0" w:color="auto"/>
                                        <w:bottom w:val="none" w:sz="0" w:space="0" w:color="auto"/>
                                        <w:right w:val="none" w:sz="0" w:space="0" w:color="auto"/>
                                      </w:divBdr>
                                      <w:divsChild>
                                        <w:div w:id="1476872623">
                                          <w:marLeft w:val="0"/>
                                          <w:marRight w:val="0"/>
                                          <w:marTop w:val="0"/>
                                          <w:marBottom w:val="0"/>
                                          <w:divBdr>
                                            <w:top w:val="none" w:sz="0" w:space="0" w:color="auto"/>
                                            <w:left w:val="single" w:sz="6" w:space="0" w:color="999999"/>
                                            <w:bottom w:val="none" w:sz="0" w:space="0" w:color="auto"/>
                                            <w:right w:val="none" w:sz="0" w:space="0" w:color="auto"/>
                                          </w:divBdr>
                                          <w:divsChild>
                                            <w:div w:id="1100565715">
                                              <w:marLeft w:val="0"/>
                                              <w:marRight w:val="0"/>
                                              <w:marTop w:val="150"/>
                                              <w:marBottom w:val="150"/>
                                              <w:divBdr>
                                                <w:top w:val="none" w:sz="0" w:space="0" w:color="auto"/>
                                                <w:left w:val="none" w:sz="0" w:space="0" w:color="auto"/>
                                                <w:bottom w:val="none" w:sz="0" w:space="0" w:color="auto"/>
                                                <w:right w:val="none" w:sz="0" w:space="0" w:color="auto"/>
                                              </w:divBdr>
                                              <w:divsChild>
                                                <w:div w:id="832532042">
                                                  <w:marLeft w:val="0"/>
                                                  <w:marRight w:val="0"/>
                                                  <w:marTop w:val="0"/>
                                                  <w:marBottom w:val="0"/>
                                                  <w:divBdr>
                                                    <w:top w:val="none" w:sz="0" w:space="0" w:color="auto"/>
                                                    <w:left w:val="none" w:sz="0" w:space="0" w:color="auto"/>
                                                    <w:bottom w:val="none" w:sz="0" w:space="0" w:color="auto"/>
                                                    <w:right w:val="none" w:sz="0" w:space="0" w:color="auto"/>
                                                  </w:divBdr>
                                                  <w:divsChild>
                                                    <w:div w:id="1533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664158">
      <w:bodyDiv w:val="1"/>
      <w:marLeft w:val="0"/>
      <w:marRight w:val="0"/>
      <w:marTop w:val="0"/>
      <w:marBottom w:val="0"/>
      <w:divBdr>
        <w:top w:val="none" w:sz="0" w:space="0" w:color="auto"/>
        <w:left w:val="none" w:sz="0" w:space="0" w:color="auto"/>
        <w:bottom w:val="none" w:sz="0" w:space="0" w:color="auto"/>
        <w:right w:val="none" w:sz="0" w:space="0" w:color="auto"/>
      </w:divBdr>
      <w:divsChild>
        <w:div w:id="906302268">
          <w:marLeft w:val="0"/>
          <w:marRight w:val="0"/>
          <w:marTop w:val="0"/>
          <w:marBottom w:val="0"/>
          <w:divBdr>
            <w:top w:val="none" w:sz="0" w:space="0" w:color="auto"/>
            <w:left w:val="none" w:sz="0" w:space="0" w:color="auto"/>
            <w:bottom w:val="none" w:sz="0" w:space="0" w:color="auto"/>
            <w:right w:val="none" w:sz="0" w:space="0" w:color="auto"/>
          </w:divBdr>
          <w:divsChild>
            <w:div w:id="1161045373">
              <w:marLeft w:val="0"/>
              <w:marRight w:val="0"/>
              <w:marTop w:val="0"/>
              <w:marBottom w:val="0"/>
              <w:divBdr>
                <w:top w:val="none" w:sz="0" w:space="0" w:color="auto"/>
                <w:left w:val="none" w:sz="0" w:space="0" w:color="auto"/>
                <w:bottom w:val="none" w:sz="0" w:space="0" w:color="auto"/>
                <w:right w:val="none" w:sz="0" w:space="0" w:color="auto"/>
              </w:divBdr>
              <w:divsChild>
                <w:div w:id="663364512">
                  <w:marLeft w:val="0"/>
                  <w:marRight w:val="0"/>
                  <w:marTop w:val="0"/>
                  <w:marBottom w:val="0"/>
                  <w:divBdr>
                    <w:top w:val="none" w:sz="0" w:space="0" w:color="auto"/>
                    <w:left w:val="none" w:sz="0" w:space="0" w:color="auto"/>
                    <w:bottom w:val="none" w:sz="0" w:space="0" w:color="auto"/>
                    <w:right w:val="none" w:sz="0" w:space="0" w:color="auto"/>
                  </w:divBdr>
                  <w:divsChild>
                    <w:div w:id="909539648">
                      <w:marLeft w:val="0"/>
                      <w:marRight w:val="0"/>
                      <w:marTop w:val="0"/>
                      <w:marBottom w:val="0"/>
                      <w:divBdr>
                        <w:top w:val="none" w:sz="0" w:space="0" w:color="auto"/>
                        <w:left w:val="none" w:sz="0" w:space="0" w:color="auto"/>
                        <w:bottom w:val="none" w:sz="0" w:space="0" w:color="auto"/>
                        <w:right w:val="none" w:sz="0" w:space="0" w:color="auto"/>
                      </w:divBdr>
                      <w:divsChild>
                        <w:div w:id="523792760">
                          <w:marLeft w:val="0"/>
                          <w:marRight w:val="0"/>
                          <w:marTop w:val="0"/>
                          <w:marBottom w:val="0"/>
                          <w:divBdr>
                            <w:top w:val="none" w:sz="0" w:space="0" w:color="auto"/>
                            <w:left w:val="none" w:sz="0" w:space="0" w:color="auto"/>
                            <w:bottom w:val="none" w:sz="0" w:space="0" w:color="auto"/>
                            <w:right w:val="none" w:sz="0" w:space="0" w:color="auto"/>
                          </w:divBdr>
                          <w:divsChild>
                            <w:div w:id="1756707117">
                              <w:marLeft w:val="0"/>
                              <w:marRight w:val="0"/>
                              <w:marTop w:val="0"/>
                              <w:marBottom w:val="0"/>
                              <w:divBdr>
                                <w:top w:val="none" w:sz="0" w:space="0" w:color="auto"/>
                                <w:left w:val="none" w:sz="0" w:space="0" w:color="auto"/>
                                <w:bottom w:val="none" w:sz="0" w:space="0" w:color="auto"/>
                                <w:right w:val="none" w:sz="0" w:space="0" w:color="auto"/>
                              </w:divBdr>
                              <w:divsChild>
                                <w:div w:id="480460116">
                                  <w:marLeft w:val="0"/>
                                  <w:marRight w:val="0"/>
                                  <w:marTop w:val="0"/>
                                  <w:marBottom w:val="0"/>
                                  <w:divBdr>
                                    <w:top w:val="none" w:sz="0" w:space="0" w:color="auto"/>
                                    <w:left w:val="none" w:sz="0" w:space="0" w:color="auto"/>
                                    <w:bottom w:val="none" w:sz="0" w:space="0" w:color="auto"/>
                                    <w:right w:val="none" w:sz="0" w:space="0" w:color="auto"/>
                                  </w:divBdr>
                                  <w:divsChild>
                                    <w:div w:id="134684318">
                                      <w:marLeft w:val="0"/>
                                      <w:marRight w:val="0"/>
                                      <w:marTop w:val="0"/>
                                      <w:marBottom w:val="0"/>
                                      <w:divBdr>
                                        <w:top w:val="none" w:sz="0" w:space="0" w:color="auto"/>
                                        <w:left w:val="none" w:sz="0" w:space="0" w:color="auto"/>
                                        <w:bottom w:val="none" w:sz="0" w:space="0" w:color="auto"/>
                                        <w:right w:val="none" w:sz="0" w:space="0" w:color="auto"/>
                                      </w:divBdr>
                                      <w:divsChild>
                                        <w:div w:id="629169239">
                                          <w:marLeft w:val="0"/>
                                          <w:marRight w:val="0"/>
                                          <w:marTop w:val="0"/>
                                          <w:marBottom w:val="0"/>
                                          <w:divBdr>
                                            <w:top w:val="none" w:sz="0" w:space="0" w:color="auto"/>
                                            <w:left w:val="single" w:sz="6" w:space="0" w:color="999999"/>
                                            <w:bottom w:val="none" w:sz="0" w:space="0" w:color="auto"/>
                                            <w:right w:val="none" w:sz="0" w:space="0" w:color="auto"/>
                                          </w:divBdr>
                                          <w:divsChild>
                                            <w:div w:id="671571889">
                                              <w:marLeft w:val="0"/>
                                              <w:marRight w:val="0"/>
                                              <w:marTop w:val="150"/>
                                              <w:marBottom w:val="150"/>
                                              <w:divBdr>
                                                <w:top w:val="none" w:sz="0" w:space="0" w:color="auto"/>
                                                <w:left w:val="none" w:sz="0" w:space="0" w:color="auto"/>
                                                <w:bottom w:val="none" w:sz="0" w:space="0" w:color="auto"/>
                                                <w:right w:val="none" w:sz="0" w:space="0" w:color="auto"/>
                                              </w:divBdr>
                                              <w:divsChild>
                                                <w:div w:id="579097797">
                                                  <w:marLeft w:val="0"/>
                                                  <w:marRight w:val="0"/>
                                                  <w:marTop w:val="0"/>
                                                  <w:marBottom w:val="0"/>
                                                  <w:divBdr>
                                                    <w:top w:val="none" w:sz="0" w:space="0" w:color="auto"/>
                                                    <w:left w:val="none" w:sz="0" w:space="0" w:color="auto"/>
                                                    <w:bottom w:val="none" w:sz="0" w:space="0" w:color="auto"/>
                                                    <w:right w:val="none" w:sz="0" w:space="0" w:color="auto"/>
                                                  </w:divBdr>
                                                  <w:divsChild>
                                                    <w:div w:id="707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ravelhealthpro.org.uk/factsheet/49/typhoid-and-paratyphoid" TargetMode="External"/><Relationship Id="rId26" Type="http://schemas.openxmlformats.org/officeDocument/2006/relationships/hyperlink" Target="https://www.gov.uk/government/publications/immunisation-procedures-the-green-book-chapter-4" TargetMode="External"/><Relationship Id="rId39" Type="http://schemas.openxmlformats.org/officeDocument/2006/relationships/hyperlink" Target="http://www.medicines.org.uk/emc/medicine/6186" TargetMode="External"/><Relationship Id="rId21" Type="http://schemas.openxmlformats.org/officeDocument/2006/relationships/hyperlink" Target="https://travelhealthpro.org.uk/factsheet/49/typhoid-and-paratyphoid" TargetMode="External"/><Relationship Id="rId34" Type="http://schemas.openxmlformats.org/officeDocument/2006/relationships/hyperlink" Target="http://www.medicines.org.uk" TargetMode="External"/><Relationship Id="rId42" Type="http://schemas.openxmlformats.org/officeDocument/2006/relationships/hyperlink" Target="https://bnf.nice.org.uk/drug/typhoid-vaccine.html" TargetMode="External"/><Relationship Id="rId47" Type="http://schemas.openxmlformats.org/officeDocument/2006/relationships/hyperlink" Target="https://www.nice.org.uk/guidance/mpg2" TargetMode="External"/><Relationship Id="rId50" Type="http://schemas.openxmlformats.org/officeDocument/2006/relationships/hyperlink" Target="https://www.gov.uk/government/publications/vaccine-incident-guidance-responding-to-vaccine-error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typhoid-the-green-book-chapter-33" TargetMode="External"/><Relationship Id="rId25" Type="http://schemas.openxmlformats.org/officeDocument/2006/relationships/hyperlink" Target="https://www.gov.uk/government/publications/vaccine-incident-guidance-responding-to-vaccine-errors" TargetMode="External"/><Relationship Id="rId33" Type="http://schemas.openxmlformats.org/officeDocument/2006/relationships/hyperlink" Target="http://www.medicines.org.uk" TargetMode="External"/><Relationship Id="rId38" Type="http://schemas.openxmlformats.org/officeDocument/2006/relationships/hyperlink" Target="https://www.gov.uk/government/collections/immunisation-against-infectious-disease-the-green-book" TargetMode="External"/><Relationship Id="rId46" Type="http://schemas.openxmlformats.org/officeDocument/2006/relationships/hyperlink" Target="https://www.gov.uk/government/publications/immunisation-training-national-minimum-standard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immunisation-training-national-minimum-standards" TargetMode="External"/><Relationship Id="rId20" Type="http://schemas.openxmlformats.org/officeDocument/2006/relationships/hyperlink" Target="https://travelhealthpro.org.uk/countries" TargetMode="External"/><Relationship Id="rId29" Type="http://schemas.openxmlformats.org/officeDocument/2006/relationships/hyperlink" Target="https://www.gov.uk/government/publications/protocol-for-ordering-storing-and-handling-vaccines" TargetMode="External"/><Relationship Id="rId41" Type="http://schemas.openxmlformats.org/officeDocument/2006/relationships/hyperlink" Target="https://travelhealthpro.org.uk/countri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travelhealthpro.org.uk/factsheet/49/typhoid-and-paratyphoid" TargetMode="External"/><Relationship Id="rId32" Type="http://schemas.openxmlformats.org/officeDocument/2006/relationships/hyperlink" Target="https://www.gov.uk/government/publications/guidance-on-the-safe-management-of-healthcare-waste" TargetMode="External"/><Relationship Id="rId37" Type="http://schemas.openxmlformats.org/officeDocument/2006/relationships/hyperlink" Target="https://www.gov.uk/government/publications/typhoid-the-green-book-chapter-33" TargetMode="External"/><Relationship Id="rId40" Type="http://schemas.openxmlformats.org/officeDocument/2006/relationships/hyperlink" Target="https://travelhealthpro.org.uk/factsheet/49/typhoid-and-paratyphoid" TargetMode="External"/><Relationship Id="rId45" Type="http://schemas.openxmlformats.org/officeDocument/2006/relationships/hyperlink" Target="https://www.rcn.org.uk/professional-development/publications/pub-005336"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typhoid-the-green-book-chapter-33" TargetMode="External"/><Relationship Id="rId28" Type="http://schemas.openxmlformats.org/officeDocument/2006/relationships/hyperlink" Target="https://travelhealthpro.org.uk/factsheet/49/typhoid-and-paratyphoid" TargetMode="External"/><Relationship Id="rId36" Type="http://schemas.openxmlformats.org/officeDocument/2006/relationships/hyperlink" Target="https://www.gov.uk/government/publications/immunisation-procedures-the-green-book-chapter-4" TargetMode="External"/><Relationship Id="rId49" Type="http://schemas.openxmlformats.org/officeDocument/2006/relationships/hyperlink" Target="https://www.gov.uk/government/collections/immunisation" TargetMode="External"/><Relationship Id="rId57" Type="http://schemas.openxmlformats.org/officeDocument/2006/relationships/footer" Target="footer3.xml"/><Relationship Id="rId10" Type="http://schemas.openxmlformats.org/officeDocument/2006/relationships/hyperlink" Target="mailto:Immunisation@phe.gov.uk" TargetMode="External"/><Relationship Id="rId19" Type="http://schemas.openxmlformats.org/officeDocument/2006/relationships/hyperlink" Target="https://travelhealthpro.org.uk/factsheet/49/typhoid-and-paratyphoid"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gov.uk/government/publications/guidance-on-the-safe-management-of-healthcare-wast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travelhealthpro.org.uk/countries" TargetMode="External"/><Relationship Id="rId27" Type="http://schemas.openxmlformats.org/officeDocument/2006/relationships/hyperlink" Target="http://www.medicines.org.uk" TargetMode="External"/><Relationship Id="rId30" Type="http://schemas.openxmlformats.org/officeDocument/2006/relationships/hyperlink" Target="https://www.gov.uk/government/publications/storage-distribution-and-disposal-of-vaccines-the-green-book-chapter-3" TargetMode="External"/><Relationship Id="rId35" Type="http://schemas.openxmlformats.org/officeDocument/2006/relationships/hyperlink" Target="http://yellowcard.mhra.gov.uk" TargetMode="External"/><Relationship Id="rId43" Type="http://schemas.openxmlformats.org/officeDocument/2006/relationships/hyperlink" Target="https://bnfc.nice.org.uk/drug/typhoid-vaccine.html" TargetMode="External"/><Relationship Id="rId48" Type="http://schemas.openxmlformats.org/officeDocument/2006/relationships/hyperlink" Target="https://www.nice.org.uk/guidance/mpg2/resources" TargetMode="External"/><Relationship Id="rId56" Type="http://schemas.openxmlformats.org/officeDocument/2006/relationships/header" Target="header3.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protocol-for-ordering-storing-and-handling-vaccin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DF8DB-DCDC-4072-B4D9-88F42AB6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4451</Words>
  <Characters>25373</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Leeds LMC Ltd</cp:lastModifiedBy>
  <cp:revision>2</cp:revision>
  <cp:lastPrinted>2018-01-17T12:59:00Z</cp:lastPrinted>
  <dcterms:created xsi:type="dcterms:W3CDTF">2018-02-23T11:25:00Z</dcterms:created>
  <dcterms:modified xsi:type="dcterms:W3CDTF">2018-02-23T11:25:00Z</dcterms:modified>
</cp:coreProperties>
</file>