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37" w:rsidRDefault="00470337" w:rsidP="00470337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b/>
          <w:spacing w:val="3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pacing w:val="3"/>
          <w:sz w:val="28"/>
          <w:szCs w:val="28"/>
        </w:rPr>
        <w:t>School bereavement assemblies and workshops</w:t>
      </w:r>
    </w:p>
    <w:p w:rsidR="00633DE5" w:rsidRDefault="00633DE5" w:rsidP="00470337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b/>
          <w:spacing w:val="3"/>
          <w:sz w:val="28"/>
          <w:szCs w:val="28"/>
        </w:rPr>
      </w:pPr>
    </w:p>
    <w:p w:rsidR="00633DE5" w:rsidRDefault="00633DE5" w:rsidP="00633DE5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spacing w:val="3"/>
          <w:sz w:val="22"/>
        </w:rPr>
      </w:pPr>
      <w:r w:rsidRPr="00633DE5">
        <w:rPr>
          <w:rFonts w:asciiTheme="majorHAnsi" w:hAnsiTheme="majorHAnsi" w:cstheme="majorHAnsi"/>
          <w:spacing w:val="3"/>
          <w:sz w:val="22"/>
          <w:lang w:val="en-US"/>
        </w:rPr>
        <w:t xml:space="preserve">The OWLS team can present assemblies and workshops to the whole primary school, key stage, year group or class. The sessions provide a gentle introduction to the transition of life to death where children can reflect on grief and ask questions in a safe and supportive space. </w:t>
      </w:r>
      <w:r>
        <w:rPr>
          <w:rFonts w:asciiTheme="majorHAnsi" w:hAnsiTheme="majorHAnsi" w:cstheme="majorHAnsi"/>
          <w:spacing w:val="3"/>
          <w:sz w:val="22"/>
        </w:rPr>
        <w:t xml:space="preserve">These sessions can be used as part of a PSHCE or SEAL curriculum to allow children to think about death and grief without shame or judgement. </w:t>
      </w:r>
    </w:p>
    <w:p w:rsidR="00633DE5" w:rsidRDefault="00633DE5" w:rsidP="00633DE5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spacing w:val="3"/>
          <w:sz w:val="22"/>
          <w:lang w:val="en-US"/>
        </w:rPr>
      </w:pPr>
    </w:p>
    <w:p w:rsidR="00470337" w:rsidRDefault="00633DE5" w:rsidP="00470337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spacing w:val="3"/>
          <w:sz w:val="22"/>
        </w:rPr>
      </w:pPr>
      <w:r w:rsidRPr="00633DE5">
        <w:rPr>
          <w:rFonts w:asciiTheme="majorHAnsi" w:hAnsiTheme="majorHAnsi" w:cstheme="majorHAnsi"/>
          <w:spacing w:val="3"/>
          <w:sz w:val="22"/>
          <w:lang w:val="en-US"/>
        </w:rPr>
        <w:t xml:space="preserve">We work with school staff to tailor the support to suit the </w:t>
      </w:r>
      <w:r>
        <w:rPr>
          <w:rFonts w:asciiTheme="majorHAnsi" w:hAnsiTheme="majorHAnsi" w:cstheme="majorHAnsi"/>
          <w:spacing w:val="3"/>
          <w:sz w:val="22"/>
          <w:lang w:val="en-US"/>
        </w:rPr>
        <w:t xml:space="preserve">age and special educational needs of the pupils in attendance. </w:t>
      </w:r>
      <w:r w:rsidR="00470337" w:rsidRPr="00460B4E">
        <w:rPr>
          <w:rFonts w:asciiTheme="majorHAnsi" w:hAnsiTheme="majorHAnsi" w:cstheme="majorHAnsi"/>
          <w:spacing w:val="3"/>
          <w:sz w:val="22"/>
        </w:rPr>
        <w:t xml:space="preserve">Information and opt-out forms will be provided to the school </w:t>
      </w:r>
      <w:r>
        <w:rPr>
          <w:rFonts w:asciiTheme="majorHAnsi" w:hAnsiTheme="majorHAnsi" w:cstheme="majorHAnsi"/>
          <w:spacing w:val="3"/>
          <w:sz w:val="22"/>
        </w:rPr>
        <w:t xml:space="preserve">to distribute to </w:t>
      </w:r>
      <w:r w:rsidR="00470337" w:rsidRPr="00460B4E">
        <w:rPr>
          <w:rFonts w:asciiTheme="majorHAnsi" w:hAnsiTheme="majorHAnsi" w:cstheme="majorHAnsi"/>
          <w:spacing w:val="3"/>
          <w:sz w:val="22"/>
        </w:rPr>
        <w:t xml:space="preserve">parents in the weeks </w:t>
      </w:r>
      <w:r w:rsidR="00460B4E" w:rsidRPr="00460B4E">
        <w:rPr>
          <w:rFonts w:asciiTheme="majorHAnsi" w:hAnsiTheme="majorHAnsi" w:cstheme="majorHAnsi"/>
          <w:spacing w:val="3"/>
          <w:sz w:val="22"/>
        </w:rPr>
        <w:t>prior</w:t>
      </w:r>
      <w:r>
        <w:rPr>
          <w:rFonts w:asciiTheme="majorHAnsi" w:hAnsiTheme="majorHAnsi" w:cstheme="majorHAnsi"/>
          <w:spacing w:val="3"/>
          <w:sz w:val="22"/>
        </w:rPr>
        <w:t xml:space="preserve"> to the OWLS session,</w:t>
      </w:r>
      <w:r w:rsidR="00460B4E" w:rsidRPr="00460B4E">
        <w:rPr>
          <w:rFonts w:asciiTheme="majorHAnsi" w:hAnsiTheme="majorHAnsi" w:cstheme="majorHAnsi"/>
          <w:spacing w:val="3"/>
          <w:sz w:val="22"/>
        </w:rPr>
        <w:t xml:space="preserve"> and </w:t>
      </w:r>
      <w:r w:rsidR="00460B4E">
        <w:rPr>
          <w:rFonts w:asciiTheme="majorHAnsi" w:hAnsiTheme="majorHAnsi" w:cstheme="majorHAnsi"/>
          <w:spacing w:val="3"/>
          <w:sz w:val="22"/>
        </w:rPr>
        <w:t>an alternative will be offered for children not taking part.</w:t>
      </w:r>
    </w:p>
    <w:p w:rsidR="00633DE5" w:rsidRDefault="00633DE5" w:rsidP="00470337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spacing w:val="3"/>
          <w:sz w:val="22"/>
        </w:rPr>
      </w:pPr>
    </w:p>
    <w:p w:rsidR="00633DE5" w:rsidRPr="00460B4E" w:rsidRDefault="00633DE5" w:rsidP="00386948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spacing w:val="3"/>
          <w:sz w:val="22"/>
        </w:rPr>
      </w:pPr>
    </w:p>
    <w:p w:rsidR="003D6077" w:rsidRDefault="00470337" w:rsidP="00386948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b/>
          <w:spacing w:val="3"/>
          <w:sz w:val="28"/>
          <w:szCs w:val="28"/>
        </w:rPr>
      </w:pPr>
      <w:r>
        <w:rPr>
          <w:rFonts w:asciiTheme="majorHAnsi" w:hAnsiTheme="majorHAnsi" w:cstheme="majorHAnsi"/>
          <w:b/>
          <w:spacing w:val="3"/>
          <w:sz w:val="28"/>
          <w:szCs w:val="28"/>
        </w:rPr>
        <w:t>Help for a school supporting a bereaved child</w:t>
      </w:r>
    </w:p>
    <w:p w:rsidR="00633DE5" w:rsidRPr="00E54DEF" w:rsidRDefault="00633DE5" w:rsidP="00386948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b/>
          <w:spacing w:val="3"/>
          <w:sz w:val="28"/>
          <w:szCs w:val="28"/>
        </w:rPr>
      </w:pPr>
    </w:p>
    <w:p w:rsidR="00386948" w:rsidRDefault="003D6077" w:rsidP="00470337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spacing w:val="3"/>
          <w:sz w:val="22"/>
        </w:rPr>
      </w:pPr>
      <w:r w:rsidRPr="00E54DEF">
        <w:rPr>
          <w:rFonts w:asciiTheme="majorHAnsi" w:hAnsiTheme="majorHAnsi" w:cstheme="majorHAnsi"/>
          <w:spacing w:val="3"/>
          <w:sz w:val="22"/>
        </w:rPr>
        <w:t xml:space="preserve">Children spend a great deal of time in school so it’s unsurprising that teachers and support staff, as familiar and trusted adults, can play an important role in supporting a bereaved child. </w:t>
      </w:r>
      <w:r w:rsidR="00470337">
        <w:rPr>
          <w:rFonts w:asciiTheme="majorHAnsi" w:eastAsia="Times New Roman" w:hAnsiTheme="majorHAnsi" w:cstheme="majorHAnsi"/>
          <w:spacing w:val="3"/>
          <w:sz w:val="22"/>
          <w:lang w:eastAsia="en-GB"/>
        </w:rPr>
        <w:t xml:space="preserve">There are a number of interventions that the OWLS Bereavement </w:t>
      </w:r>
      <w:r w:rsidR="00633DE5">
        <w:rPr>
          <w:rFonts w:asciiTheme="majorHAnsi" w:eastAsia="Times New Roman" w:hAnsiTheme="majorHAnsi" w:cstheme="majorHAnsi"/>
          <w:spacing w:val="3"/>
          <w:sz w:val="22"/>
          <w:lang w:eastAsia="en-GB"/>
        </w:rPr>
        <w:t>S</w:t>
      </w:r>
      <w:r w:rsidR="00470337">
        <w:rPr>
          <w:rFonts w:asciiTheme="majorHAnsi" w:eastAsia="Times New Roman" w:hAnsiTheme="majorHAnsi" w:cstheme="majorHAnsi"/>
          <w:spacing w:val="3"/>
          <w:sz w:val="22"/>
          <w:lang w:eastAsia="en-GB"/>
        </w:rPr>
        <w:t>ervice can offer a school to aid them in supporting a bereaved child and their family.</w:t>
      </w:r>
      <w:r w:rsidR="00470337" w:rsidRPr="00E54DEF">
        <w:rPr>
          <w:rFonts w:asciiTheme="majorHAnsi" w:hAnsiTheme="majorHAnsi" w:cstheme="majorHAnsi"/>
          <w:spacing w:val="3"/>
          <w:sz w:val="22"/>
        </w:rPr>
        <w:t xml:space="preserve"> </w:t>
      </w:r>
    </w:p>
    <w:p w:rsidR="00633DE5" w:rsidRPr="00E54DEF" w:rsidRDefault="00633DE5" w:rsidP="00470337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spacing w:val="3"/>
          <w:sz w:val="22"/>
        </w:rPr>
      </w:pPr>
    </w:p>
    <w:p w:rsidR="00C97848" w:rsidRDefault="00633DE5" w:rsidP="00863BCA">
      <w:pPr>
        <w:spacing w:line="240" w:lineRule="auto"/>
        <w:contextualSpacing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We can deliver larger workshops and assemblies</w:t>
      </w:r>
      <w:r w:rsidR="00863BCA" w:rsidRPr="00633DE5">
        <w:rPr>
          <w:rFonts w:asciiTheme="majorHAnsi" w:hAnsiTheme="majorHAnsi" w:cstheme="majorHAnsi"/>
          <w:sz w:val="22"/>
        </w:rPr>
        <w:t>, or smaller group session with</w:t>
      </w:r>
      <w:r>
        <w:rPr>
          <w:rFonts w:asciiTheme="majorHAnsi" w:hAnsiTheme="majorHAnsi" w:cstheme="majorHAnsi"/>
          <w:sz w:val="22"/>
        </w:rPr>
        <w:t xml:space="preserve"> children who have bereaved and their peers. The </w:t>
      </w:r>
      <w:r w:rsidR="00863BCA" w:rsidRPr="00633DE5">
        <w:rPr>
          <w:rFonts w:asciiTheme="majorHAnsi" w:hAnsiTheme="majorHAnsi" w:cstheme="majorHAnsi"/>
          <w:sz w:val="22"/>
        </w:rPr>
        <w:t>OWLS team will endeavour to be in contact with the family of the bereaved child direc</w:t>
      </w:r>
      <w:r>
        <w:rPr>
          <w:rFonts w:asciiTheme="majorHAnsi" w:hAnsiTheme="majorHAnsi" w:cstheme="majorHAnsi"/>
          <w:sz w:val="22"/>
        </w:rPr>
        <w:t>tly prior to workshops/sessions to provide family support where needed. We can also work with pastoral teams and class teachers who may require additional information</w:t>
      </w:r>
      <w:r w:rsidR="00C87FF1">
        <w:rPr>
          <w:rFonts w:asciiTheme="majorHAnsi" w:hAnsiTheme="majorHAnsi" w:cstheme="majorHAnsi"/>
          <w:sz w:val="22"/>
        </w:rPr>
        <w:t xml:space="preserve"> or training</w:t>
      </w:r>
      <w:r>
        <w:rPr>
          <w:rFonts w:asciiTheme="majorHAnsi" w:hAnsiTheme="majorHAnsi" w:cstheme="majorHAnsi"/>
          <w:sz w:val="22"/>
        </w:rPr>
        <w:t xml:space="preserve"> </w:t>
      </w:r>
      <w:r w:rsidR="00C87FF1">
        <w:rPr>
          <w:rFonts w:asciiTheme="majorHAnsi" w:hAnsiTheme="majorHAnsi" w:cstheme="majorHAnsi"/>
          <w:sz w:val="22"/>
        </w:rPr>
        <w:t>to support a child in school who has been bereaved.</w:t>
      </w:r>
    </w:p>
    <w:p w:rsidR="00633DE5" w:rsidRPr="00633DE5" w:rsidRDefault="00633DE5" w:rsidP="00863BCA">
      <w:pPr>
        <w:spacing w:line="240" w:lineRule="auto"/>
        <w:contextualSpacing/>
        <w:rPr>
          <w:rFonts w:asciiTheme="majorHAnsi" w:hAnsiTheme="majorHAnsi" w:cstheme="majorHAnsi"/>
          <w:sz w:val="22"/>
        </w:rPr>
      </w:pPr>
    </w:p>
    <w:p w:rsidR="00C87FF1" w:rsidRDefault="00C87FF1" w:rsidP="00863BCA">
      <w:pPr>
        <w:spacing w:line="240" w:lineRule="auto"/>
        <w:contextualSpacing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Finally, we can provide a recommended list of reading books </w:t>
      </w:r>
      <w:r w:rsidR="00863BCA" w:rsidRPr="00633DE5">
        <w:rPr>
          <w:rFonts w:asciiTheme="majorHAnsi" w:hAnsiTheme="majorHAnsi" w:cstheme="majorHAnsi"/>
          <w:sz w:val="22"/>
        </w:rPr>
        <w:t>and other printed information</w:t>
      </w:r>
      <w:r>
        <w:rPr>
          <w:rFonts w:asciiTheme="majorHAnsi" w:hAnsiTheme="majorHAnsi" w:cstheme="majorHAnsi"/>
          <w:sz w:val="22"/>
        </w:rPr>
        <w:t xml:space="preserve"> which adults can use with children</w:t>
      </w:r>
      <w:r w:rsidR="00863BCA" w:rsidRPr="00633DE5">
        <w:rPr>
          <w:rFonts w:asciiTheme="majorHAnsi" w:hAnsiTheme="majorHAnsi" w:cstheme="majorHAnsi"/>
          <w:sz w:val="22"/>
        </w:rPr>
        <w:t>.</w:t>
      </w:r>
      <w:r>
        <w:rPr>
          <w:rFonts w:asciiTheme="majorHAnsi" w:hAnsiTheme="majorHAnsi" w:cstheme="majorHAnsi"/>
          <w:sz w:val="22"/>
        </w:rPr>
        <w:t xml:space="preserve"> We have specialist texts to suit the needs of children with learning disabilities or other special educational needs.</w:t>
      </w:r>
    </w:p>
    <w:p w:rsidR="00C87FF1" w:rsidRDefault="00C87FF1" w:rsidP="00863BCA">
      <w:pPr>
        <w:spacing w:line="240" w:lineRule="auto"/>
        <w:contextualSpacing/>
        <w:rPr>
          <w:rFonts w:asciiTheme="majorHAnsi" w:hAnsiTheme="majorHAnsi" w:cstheme="majorHAnsi"/>
          <w:sz w:val="22"/>
        </w:rPr>
      </w:pPr>
    </w:p>
    <w:p w:rsidR="00C87FF1" w:rsidRDefault="00863BCA" w:rsidP="00863BCA">
      <w:pPr>
        <w:spacing w:line="240" w:lineRule="auto"/>
        <w:contextualSpacing/>
        <w:rPr>
          <w:rFonts w:asciiTheme="majorHAnsi" w:hAnsiTheme="majorHAnsi" w:cstheme="majorHAnsi"/>
          <w:sz w:val="22"/>
        </w:rPr>
      </w:pPr>
      <w:r w:rsidRPr="00633DE5">
        <w:rPr>
          <w:rFonts w:asciiTheme="majorHAnsi" w:hAnsiTheme="majorHAnsi" w:cstheme="majorHAnsi"/>
          <w:sz w:val="22"/>
        </w:rPr>
        <w:t xml:space="preserve"> If we are unable to offer support, signposting to other organisations who may be able to offer more specialised help will be offered.  </w:t>
      </w:r>
    </w:p>
    <w:p w:rsidR="00C87FF1" w:rsidRDefault="00C87FF1" w:rsidP="00863BCA">
      <w:pPr>
        <w:spacing w:line="240" w:lineRule="auto"/>
        <w:contextualSpacing/>
        <w:rPr>
          <w:rFonts w:asciiTheme="majorHAnsi" w:hAnsiTheme="majorHAnsi" w:cstheme="majorHAnsi"/>
          <w:sz w:val="22"/>
        </w:rPr>
      </w:pPr>
    </w:p>
    <w:p w:rsidR="00C87FF1" w:rsidRPr="00C87FF1" w:rsidRDefault="00C87FF1" w:rsidP="00863BCA">
      <w:pPr>
        <w:spacing w:line="240" w:lineRule="auto"/>
        <w:contextualSpacing/>
        <w:rPr>
          <w:rFonts w:asciiTheme="majorHAnsi" w:hAnsiTheme="majorHAnsi" w:cstheme="majorHAnsi"/>
          <w:sz w:val="22"/>
        </w:rPr>
      </w:pPr>
    </w:p>
    <w:p w:rsidR="00633DE5" w:rsidRDefault="00633DE5" w:rsidP="00633DE5">
      <w:pPr>
        <w:spacing w:after="360" w:line="240" w:lineRule="auto"/>
        <w:contextualSpacing/>
        <w:textAlignment w:val="baseline"/>
        <w:rPr>
          <w:rFonts w:asciiTheme="majorHAnsi" w:hAnsiTheme="majorHAnsi" w:cstheme="majorHAnsi"/>
          <w:b/>
          <w:spacing w:val="3"/>
          <w:sz w:val="28"/>
          <w:szCs w:val="28"/>
        </w:rPr>
      </w:pPr>
      <w:r>
        <w:rPr>
          <w:rFonts w:asciiTheme="majorHAnsi" w:hAnsiTheme="majorHAnsi" w:cstheme="majorHAnsi"/>
          <w:b/>
          <w:spacing w:val="3"/>
          <w:sz w:val="28"/>
          <w:szCs w:val="28"/>
        </w:rPr>
        <w:t xml:space="preserve">Contacting OWLS </w:t>
      </w:r>
    </w:p>
    <w:p w:rsidR="00C87FF1" w:rsidRDefault="00C87FF1" w:rsidP="00863BCA">
      <w:pPr>
        <w:spacing w:line="240" w:lineRule="auto"/>
        <w:contextualSpacing/>
        <w:rPr>
          <w:rFonts w:asciiTheme="majorHAnsi" w:hAnsiTheme="majorHAnsi" w:cstheme="majorHAnsi"/>
          <w:b/>
          <w:sz w:val="22"/>
        </w:rPr>
      </w:pPr>
    </w:p>
    <w:p w:rsidR="00C87FF1" w:rsidRPr="00C87FF1" w:rsidRDefault="00C87FF1" w:rsidP="00C87FF1">
      <w:pPr>
        <w:spacing w:line="240" w:lineRule="auto"/>
        <w:contextualSpacing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For more information, please do contact us. </w:t>
      </w:r>
      <w:r w:rsidRPr="00C87FF1">
        <w:rPr>
          <w:rFonts w:asciiTheme="majorHAnsi" w:hAnsiTheme="majorHAnsi" w:cstheme="majorHAnsi"/>
          <w:sz w:val="22"/>
        </w:rPr>
        <w:t>We are available via phone or e</w:t>
      </w:r>
      <w:r>
        <w:rPr>
          <w:rFonts w:asciiTheme="majorHAnsi" w:hAnsiTheme="majorHAnsi" w:cstheme="majorHAnsi"/>
          <w:sz w:val="22"/>
        </w:rPr>
        <w:t>mail for general enquiries. Further detail and referral forms</w:t>
      </w:r>
      <w:r w:rsidRPr="00C87FF1">
        <w:rPr>
          <w:rFonts w:asciiTheme="majorHAnsi" w:hAnsiTheme="majorHAnsi" w:cstheme="majorHAnsi"/>
          <w:sz w:val="22"/>
        </w:rPr>
        <w:t xml:space="preserve"> can be found on our website.</w:t>
      </w:r>
      <w:r w:rsidRPr="00633DE5">
        <w:rPr>
          <w:rFonts w:asciiTheme="majorHAnsi" w:hAnsiTheme="majorHAnsi" w:cstheme="majorHAnsi"/>
          <w:i/>
          <w:sz w:val="22"/>
        </w:rPr>
        <w:t xml:space="preserve"> </w:t>
      </w:r>
    </w:p>
    <w:p w:rsidR="00C87FF1" w:rsidRDefault="00C87FF1" w:rsidP="00863BCA">
      <w:pPr>
        <w:spacing w:line="240" w:lineRule="auto"/>
        <w:contextualSpacing/>
        <w:rPr>
          <w:rFonts w:asciiTheme="majorHAnsi" w:hAnsiTheme="majorHAnsi" w:cstheme="majorHAnsi"/>
          <w:b/>
          <w:sz w:val="22"/>
        </w:rPr>
      </w:pPr>
    </w:p>
    <w:p w:rsidR="00633DE5" w:rsidRPr="00633DE5" w:rsidRDefault="00633DE5" w:rsidP="00863BCA">
      <w:pPr>
        <w:spacing w:line="240" w:lineRule="auto"/>
        <w:contextualSpacing/>
        <w:rPr>
          <w:rFonts w:asciiTheme="majorHAnsi" w:hAnsiTheme="majorHAnsi" w:cstheme="majorHAnsi"/>
          <w:b/>
          <w:sz w:val="22"/>
        </w:rPr>
      </w:pPr>
      <w:r w:rsidRPr="00633DE5">
        <w:rPr>
          <w:rFonts w:asciiTheme="majorHAnsi" w:hAnsiTheme="majorHAnsi" w:cstheme="majorHAnsi"/>
          <w:b/>
          <w:sz w:val="22"/>
        </w:rPr>
        <w:t xml:space="preserve">Tel: </w:t>
      </w:r>
      <w:r w:rsidRPr="00C87FF1">
        <w:rPr>
          <w:rFonts w:asciiTheme="majorHAnsi" w:hAnsiTheme="majorHAnsi" w:cstheme="majorHAnsi"/>
          <w:sz w:val="22"/>
        </w:rPr>
        <w:t>0113 433 3737</w:t>
      </w:r>
    </w:p>
    <w:p w:rsidR="00633DE5" w:rsidRPr="00C87FF1" w:rsidRDefault="00633DE5" w:rsidP="00863BCA">
      <w:pPr>
        <w:spacing w:line="240" w:lineRule="auto"/>
        <w:contextualSpacing/>
        <w:rPr>
          <w:rFonts w:asciiTheme="majorHAnsi" w:hAnsiTheme="majorHAnsi" w:cstheme="majorHAnsi"/>
          <w:sz w:val="22"/>
        </w:rPr>
      </w:pPr>
      <w:r w:rsidRPr="00633DE5">
        <w:rPr>
          <w:rFonts w:asciiTheme="majorHAnsi" w:hAnsiTheme="majorHAnsi" w:cstheme="majorHAnsi"/>
          <w:b/>
          <w:sz w:val="22"/>
        </w:rPr>
        <w:t xml:space="preserve">Email: </w:t>
      </w:r>
      <w:hyperlink r:id="rId8" w:history="1">
        <w:r w:rsidRPr="00C87FF1">
          <w:rPr>
            <w:rStyle w:val="Hyperlink"/>
            <w:rFonts w:asciiTheme="majorHAnsi" w:hAnsiTheme="majorHAnsi" w:cstheme="majorHAnsi"/>
            <w:sz w:val="22"/>
          </w:rPr>
          <w:t>owls@janetomlinsonappeal.com</w:t>
        </w:r>
      </w:hyperlink>
      <w:r w:rsidRPr="00C87FF1">
        <w:rPr>
          <w:rFonts w:asciiTheme="majorHAnsi" w:hAnsiTheme="majorHAnsi" w:cstheme="majorHAnsi"/>
          <w:sz w:val="22"/>
        </w:rPr>
        <w:t xml:space="preserve"> </w:t>
      </w:r>
    </w:p>
    <w:p w:rsidR="00633DE5" w:rsidRPr="00437060" w:rsidRDefault="00633DE5" w:rsidP="00863BCA">
      <w:pPr>
        <w:spacing w:line="240" w:lineRule="auto"/>
        <w:contextualSpacing/>
        <w:rPr>
          <w:rFonts w:asciiTheme="majorHAnsi" w:hAnsiTheme="majorHAnsi" w:cstheme="majorHAnsi"/>
          <w:b/>
          <w:sz w:val="22"/>
        </w:rPr>
      </w:pPr>
      <w:r w:rsidRPr="00437060">
        <w:rPr>
          <w:rFonts w:asciiTheme="majorHAnsi" w:hAnsiTheme="majorHAnsi" w:cstheme="majorHAnsi"/>
          <w:b/>
          <w:sz w:val="22"/>
        </w:rPr>
        <w:t xml:space="preserve">Website: </w:t>
      </w:r>
      <w:hyperlink r:id="rId9" w:history="1">
        <w:r w:rsidR="00437060" w:rsidRPr="00437060">
          <w:rPr>
            <w:rStyle w:val="Hyperlink"/>
            <w:rFonts w:asciiTheme="majorHAnsi" w:hAnsiTheme="majorHAnsi" w:cstheme="majorHAnsi"/>
            <w:sz w:val="22"/>
          </w:rPr>
          <w:t>https://www.janetomlinsonappeal.com/owls</w:t>
        </w:r>
      </w:hyperlink>
    </w:p>
    <w:sectPr w:rsidR="00633DE5" w:rsidRPr="004370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39" w:rsidRDefault="00B17839" w:rsidP="00822C45">
      <w:pPr>
        <w:spacing w:after="0" w:line="240" w:lineRule="auto"/>
      </w:pPr>
      <w:r>
        <w:separator/>
      </w:r>
    </w:p>
  </w:endnote>
  <w:endnote w:type="continuationSeparator" w:id="0">
    <w:p w:rsidR="00B17839" w:rsidRDefault="00B17839" w:rsidP="0082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39" w:rsidRDefault="00B17839" w:rsidP="00822C45">
      <w:pPr>
        <w:spacing w:after="0" w:line="240" w:lineRule="auto"/>
      </w:pPr>
      <w:r>
        <w:separator/>
      </w:r>
    </w:p>
  </w:footnote>
  <w:footnote w:type="continuationSeparator" w:id="0">
    <w:p w:rsidR="00B17839" w:rsidRDefault="00B17839" w:rsidP="0082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45" w:rsidRDefault="00822C45" w:rsidP="00822C45">
    <w:pPr>
      <w:pStyle w:val="Header"/>
      <w:jc w:val="center"/>
    </w:pPr>
    <w:r w:rsidRPr="00822C45">
      <w:rPr>
        <w:noProof/>
        <w:lang w:eastAsia="en-GB"/>
      </w:rPr>
      <w:drawing>
        <wp:inline distT="0" distB="0" distL="0" distR="0">
          <wp:extent cx="1083945" cy="1083945"/>
          <wp:effectExtent l="0" t="0" r="1905" b="0"/>
          <wp:docPr id="2" name="Picture 2" descr="\\RFA-DC\JTASecure\OWLS\Service identity\Bereavement Services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FA-DC\JTASecure\OWLS\Service identity\Bereavement Services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4264"/>
    <w:multiLevelType w:val="multilevel"/>
    <w:tmpl w:val="72BE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98"/>
    <w:rsid w:val="00166265"/>
    <w:rsid w:val="001A4AF5"/>
    <w:rsid w:val="001A585E"/>
    <w:rsid w:val="00210B42"/>
    <w:rsid w:val="00212C82"/>
    <w:rsid w:val="002B2A71"/>
    <w:rsid w:val="002D1B55"/>
    <w:rsid w:val="003441CA"/>
    <w:rsid w:val="00386948"/>
    <w:rsid w:val="003D6077"/>
    <w:rsid w:val="00437060"/>
    <w:rsid w:val="00460B4E"/>
    <w:rsid w:val="00470337"/>
    <w:rsid w:val="00633DE5"/>
    <w:rsid w:val="00633E20"/>
    <w:rsid w:val="00661C4E"/>
    <w:rsid w:val="007E1C18"/>
    <w:rsid w:val="00822C45"/>
    <w:rsid w:val="00863BCA"/>
    <w:rsid w:val="00883A2C"/>
    <w:rsid w:val="00924A93"/>
    <w:rsid w:val="00947087"/>
    <w:rsid w:val="00A230B7"/>
    <w:rsid w:val="00AB1A98"/>
    <w:rsid w:val="00B17839"/>
    <w:rsid w:val="00BC476F"/>
    <w:rsid w:val="00C2668F"/>
    <w:rsid w:val="00C87FF1"/>
    <w:rsid w:val="00C97848"/>
    <w:rsid w:val="00E242C5"/>
    <w:rsid w:val="00E54DEF"/>
    <w:rsid w:val="00EA0518"/>
    <w:rsid w:val="00F12420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94868-C2AF-408D-B130-C68DAB2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A98"/>
    <w:pPr>
      <w:spacing w:after="240" w:line="360" w:lineRule="auto"/>
    </w:pPr>
    <w:rPr>
      <w:rFonts w:ascii="Arial" w:hAnsi="Arial"/>
      <w:sz w:val="24"/>
    </w:rPr>
  </w:style>
  <w:style w:type="paragraph" w:styleId="Heading4">
    <w:name w:val="heading 4"/>
    <w:basedOn w:val="Normal"/>
    <w:link w:val="Heading4Char"/>
    <w:uiPriority w:val="9"/>
    <w:qFormat/>
    <w:rsid w:val="00386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4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2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45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38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8694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6948"/>
    <w:rPr>
      <w:b/>
      <w:bCs/>
    </w:rPr>
  </w:style>
  <w:style w:type="character" w:styleId="Emphasis">
    <w:name w:val="Emphasis"/>
    <w:basedOn w:val="DefaultParagraphFont"/>
    <w:uiPriority w:val="20"/>
    <w:qFormat/>
    <w:rsid w:val="00386948"/>
    <w:rPr>
      <w:i/>
      <w:iCs/>
    </w:rPr>
  </w:style>
  <w:style w:type="character" w:styleId="Hyperlink">
    <w:name w:val="Hyperlink"/>
    <w:basedOn w:val="DefaultParagraphFont"/>
    <w:uiPriority w:val="99"/>
    <w:unhideWhenUsed/>
    <w:rsid w:val="00633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ls@janetomlinsonappe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anetomlinsonappeal.com/ow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Roehampton1.XSL" StyleName="Harvard-Roehampton" Version="1">
  <b:Source>
    <b:Tag>Dap89</b:Tag>
    <b:SourceType>JournalArticle</b:SourceType>
    <b:Guid>{7D20F4BC-650C-445C-965F-FEDEBD342953}</b:Guid>
    <b:Title>The Spectrum of Grief: Identification and Management</b:Title>
    <b:Year>1989</b:Year>
    <b:Author>
      <b:Author>
        <b:NameList>
          <b:Person>
            <b:Last>Barnes</b:Last>
            <b:First>Daphne</b:First>
          </b:Person>
        </b:NameList>
      </b:Author>
    </b:Author>
    <b:JournalName>Canadian Family Physician</b:JournalName>
    <b:Month>May</b:Month>
    <b:Pages>1095 - 1098</b:Pages>
    <b:Volume>35</b:Volume>
    <b:RefOrder>1</b:RefOrder>
  </b:Source>
</b:Sources>
</file>

<file path=customXml/itemProps1.xml><?xml version="1.0" encoding="utf-8"?>
<ds:datastoreItem xmlns:ds="http://schemas.openxmlformats.org/officeDocument/2006/customXml" ds:itemID="{A6C91931-A30B-4A92-AC0E-FC3CAB18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Haines</dc:creator>
  <cp:keywords/>
  <dc:description/>
  <cp:lastModifiedBy>Leeds LMC Ltd</cp:lastModifiedBy>
  <cp:revision>2</cp:revision>
  <dcterms:created xsi:type="dcterms:W3CDTF">2019-07-09T16:08:00Z</dcterms:created>
  <dcterms:modified xsi:type="dcterms:W3CDTF">2019-07-09T16:08:00Z</dcterms:modified>
</cp:coreProperties>
</file>