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920DB" w14:textId="4BA827D5" w:rsidR="008A44C5" w:rsidRDefault="00660156">
      <w:r>
        <w:rPr>
          <w:noProof/>
        </w:rPr>
        <w:drawing>
          <wp:anchor distT="0" distB="0" distL="114300" distR="114300" simplePos="0" relativeHeight="251659264" behindDoc="1" locked="0" layoutInCell="1" allowOverlap="1" wp14:anchorId="7115C026" wp14:editId="3843FB6D">
            <wp:simplePos x="0" y="0"/>
            <wp:positionH relativeFrom="column">
              <wp:posOffset>-279400</wp:posOffset>
            </wp:positionH>
            <wp:positionV relativeFrom="page">
              <wp:posOffset>279400</wp:posOffset>
            </wp:positionV>
            <wp:extent cx="2165985" cy="673100"/>
            <wp:effectExtent l="0" t="0" r="5715" b="0"/>
            <wp:wrapTight wrapText="bothSides">
              <wp:wrapPolygon edited="0">
                <wp:start x="17478" y="0"/>
                <wp:lineTo x="7789" y="4891"/>
                <wp:lineTo x="7789" y="9781"/>
                <wp:lineTo x="0" y="10392"/>
                <wp:lineTo x="0" y="14672"/>
                <wp:lineTo x="17478" y="19562"/>
                <wp:lineTo x="17478" y="20785"/>
                <wp:lineTo x="18427" y="20785"/>
                <wp:lineTo x="21467" y="14060"/>
                <wp:lineTo x="21467" y="6725"/>
                <wp:lineTo x="18427" y="0"/>
                <wp:lineTo x="17478" y="0"/>
              </wp:wrapPolygon>
            </wp:wrapTight>
            <wp:docPr id="3" name="Picture 3"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5985" cy="673100"/>
                    </a:xfrm>
                    <a:prstGeom prst="rect">
                      <a:avLst/>
                    </a:prstGeom>
                  </pic:spPr>
                </pic:pic>
              </a:graphicData>
            </a:graphic>
            <wp14:sizeRelH relativeFrom="page">
              <wp14:pctWidth>0</wp14:pctWidth>
            </wp14:sizeRelH>
            <wp14:sizeRelV relativeFrom="page">
              <wp14:pctHeight>0</wp14:pctHeight>
            </wp14:sizeRelV>
          </wp:anchor>
        </w:drawing>
      </w:r>
      <w:r w:rsidR="008A44C5">
        <w:rPr>
          <w:noProof/>
        </w:rPr>
        <w:drawing>
          <wp:anchor distT="0" distB="0" distL="114300" distR="114300" simplePos="0" relativeHeight="251656192" behindDoc="1" locked="0" layoutInCell="1" allowOverlap="1" wp14:anchorId="5FA30A35" wp14:editId="1BD51A00">
            <wp:simplePos x="0" y="0"/>
            <wp:positionH relativeFrom="margin">
              <wp:posOffset>4470400</wp:posOffset>
            </wp:positionH>
            <wp:positionV relativeFrom="page">
              <wp:posOffset>368300</wp:posOffset>
            </wp:positionV>
            <wp:extent cx="1304925" cy="425450"/>
            <wp:effectExtent l="0" t="0" r="9525" b="0"/>
            <wp:wrapTight wrapText="bothSides">
              <wp:wrapPolygon edited="0">
                <wp:start x="0" y="0"/>
                <wp:lineTo x="0" y="20310"/>
                <wp:lineTo x="21442" y="20310"/>
                <wp:lineTo x="21442" y="0"/>
                <wp:lineTo x="0" y="0"/>
              </wp:wrapPolygon>
            </wp:wrapTight>
            <wp:docPr id="9" name="nhs_letter_template"/>
            <wp:cNvGraphicFramePr/>
            <a:graphic xmlns:a="http://schemas.openxmlformats.org/drawingml/2006/main">
              <a:graphicData uri="http://schemas.openxmlformats.org/drawingml/2006/picture">
                <pic:pic xmlns:pic="http://schemas.openxmlformats.org/drawingml/2006/picture">
                  <pic:nvPicPr>
                    <pic:cNvPr id="9" name="nhs_letter_template"/>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04925" cy="42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16E53D" w14:textId="044B10B9" w:rsidR="00755E01" w:rsidRPr="008A44C5" w:rsidRDefault="008A44C5" w:rsidP="00660156">
      <w:pPr>
        <w:jc w:val="right"/>
        <w:rPr>
          <w:sz w:val="24"/>
          <w:szCs w:val="24"/>
        </w:rPr>
      </w:pPr>
      <w:r w:rsidRPr="008A44C5">
        <w:rPr>
          <w:sz w:val="24"/>
          <w:szCs w:val="24"/>
        </w:rPr>
        <w:t>Monday, 20 December 2021</w:t>
      </w:r>
    </w:p>
    <w:p w14:paraId="5FFD70C6" w14:textId="77777777" w:rsidR="00117623" w:rsidRPr="00117623" w:rsidRDefault="00117623" w:rsidP="008A44C5">
      <w:pPr>
        <w:tabs>
          <w:tab w:val="center" w:pos="2960"/>
        </w:tabs>
        <w:spacing w:after="0" w:line="240" w:lineRule="auto"/>
        <w:ind w:right="-23"/>
        <w:rPr>
          <w:rFonts w:cstheme="minorHAnsi"/>
          <w:b/>
          <w:bCs/>
          <w:sz w:val="24"/>
          <w:szCs w:val="24"/>
        </w:rPr>
      </w:pPr>
    </w:p>
    <w:p w14:paraId="0B75623B" w14:textId="2B18583A" w:rsidR="008A44C5" w:rsidRPr="00117623" w:rsidRDefault="008A44C5" w:rsidP="008A44C5">
      <w:pPr>
        <w:tabs>
          <w:tab w:val="center" w:pos="2960"/>
        </w:tabs>
        <w:spacing w:after="0" w:line="240" w:lineRule="auto"/>
        <w:ind w:right="-23"/>
        <w:rPr>
          <w:rFonts w:cstheme="minorHAnsi"/>
          <w:b/>
          <w:bCs/>
          <w:sz w:val="24"/>
          <w:szCs w:val="24"/>
        </w:rPr>
      </w:pPr>
      <w:r w:rsidRPr="00117623">
        <w:rPr>
          <w:rFonts w:cstheme="minorHAnsi"/>
          <w:b/>
          <w:bCs/>
          <w:sz w:val="24"/>
          <w:szCs w:val="24"/>
        </w:rPr>
        <w:t>Antiviral medicines and neutralising monoclonal antibodies (</w:t>
      </w:r>
      <w:proofErr w:type="spellStart"/>
      <w:r w:rsidRPr="00117623">
        <w:rPr>
          <w:rFonts w:cstheme="minorHAnsi"/>
          <w:b/>
          <w:bCs/>
          <w:sz w:val="24"/>
          <w:szCs w:val="24"/>
        </w:rPr>
        <w:t>nMABs</w:t>
      </w:r>
      <w:proofErr w:type="spellEnd"/>
      <w:r w:rsidRPr="00117623">
        <w:rPr>
          <w:rFonts w:cstheme="minorHAnsi"/>
          <w:b/>
          <w:bCs/>
          <w:sz w:val="24"/>
          <w:szCs w:val="24"/>
        </w:rPr>
        <w:t xml:space="preserve">) </w:t>
      </w:r>
      <w:r w:rsidR="00117623" w:rsidRPr="00117623">
        <w:rPr>
          <w:rFonts w:cstheme="minorHAnsi"/>
          <w:b/>
          <w:bCs/>
          <w:sz w:val="24"/>
          <w:szCs w:val="24"/>
        </w:rPr>
        <w:t>Triage</w:t>
      </w:r>
      <w:r w:rsidRPr="00117623">
        <w:rPr>
          <w:rFonts w:cstheme="minorHAnsi"/>
          <w:b/>
          <w:bCs/>
          <w:sz w:val="24"/>
          <w:szCs w:val="24"/>
        </w:rPr>
        <w:t xml:space="preserve"> Form</w:t>
      </w:r>
    </w:p>
    <w:p w14:paraId="4ECD3BB5" w14:textId="77777777" w:rsidR="008A44C5" w:rsidRDefault="008A44C5"/>
    <w:tbl>
      <w:tblPr>
        <w:tblStyle w:val="TableGrid"/>
        <w:tblpPr w:leftFromText="180" w:rightFromText="180" w:vertAnchor="text" w:horzAnchor="margin" w:tblpXSpec="center" w:tblpY="222"/>
        <w:tblW w:w="10456" w:type="dxa"/>
        <w:tblCellMar>
          <w:left w:w="0" w:type="dxa"/>
          <w:right w:w="0" w:type="dxa"/>
        </w:tblCellMar>
        <w:tblLook w:val="04A0" w:firstRow="1" w:lastRow="0" w:firstColumn="1" w:lastColumn="0" w:noHBand="0" w:noVBand="1"/>
      </w:tblPr>
      <w:tblGrid>
        <w:gridCol w:w="289"/>
        <w:gridCol w:w="8080"/>
        <w:gridCol w:w="2087"/>
      </w:tblGrid>
      <w:tr w:rsidR="008A44C5" w:rsidRPr="008A44C5" w14:paraId="53FB57E0" w14:textId="77777777" w:rsidTr="00F2187C">
        <w:tc>
          <w:tcPr>
            <w:tcW w:w="289" w:type="dxa"/>
            <w:shd w:val="clear" w:color="auto" w:fill="A6A6A6" w:themeFill="background1" w:themeFillShade="A6"/>
          </w:tcPr>
          <w:p w14:paraId="03FFFAB0" w14:textId="77777777" w:rsidR="008A44C5" w:rsidRPr="008A44C5" w:rsidRDefault="008A44C5" w:rsidP="008A44C5">
            <w:pPr>
              <w:rPr>
                <w:rFonts w:cs="Arial"/>
                <w:b/>
                <w:sz w:val="21"/>
                <w:szCs w:val="21"/>
              </w:rPr>
            </w:pPr>
          </w:p>
        </w:tc>
        <w:tc>
          <w:tcPr>
            <w:tcW w:w="8080" w:type="dxa"/>
            <w:shd w:val="clear" w:color="auto" w:fill="A6A6A6" w:themeFill="background1" w:themeFillShade="A6"/>
          </w:tcPr>
          <w:p w14:paraId="2381D690" w14:textId="77777777" w:rsidR="008A44C5" w:rsidRDefault="008A44C5" w:rsidP="008A44C5">
            <w:pPr>
              <w:rPr>
                <w:rFonts w:cs="Arial"/>
                <w:b/>
                <w:sz w:val="21"/>
                <w:szCs w:val="21"/>
              </w:rPr>
            </w:pPr>
            <w:r w:rsidRPr="008A44C5">
              <w:rPr>
                <w:rFonts w:cs="Arial"/>
                <w:b/>
                <w:sz w:val="21"/>
                <w:szCs w:val="21"/>
              </w:rPr>
              <w:t>Triage question</w:t>
            </w:r>
          </w:p>
          <w:p w14:paraId="0E40D72E" w14:textId="60FEA160" w:rsidR="008A44C5" w:rsidRPr="008A44C5" w:rsidRDefault="008A44C5" w:rsidP="008A44C5">
            <w:pPr>
              <w:rPr>
                <w:rFonts w:cs="Arial"/>
                <w:b/>
                <w:sz w:val="21"/>
                <w:szCs w:val="21"/>
              </w:rPr>
            </w:pPr>
          </w:p>
        </w:tc>
        <w:tc>
          <w:tcPr>
            <w:tcW w:w="2087" w:type="dxa"/>
            <w:shd w:val="clear" w:color="auto" w:fill="A6A6A6" w:themeFill="background1" w:themeFillShade="A6"/>
          </w:tcPr>
          <w:p w14:paraId="688BBDC0" w14:textId="77777777" w:rsidR="008A44C5" w:rsidRPr="008A44C5" w:rsidRDefault="008A44C5" w:rsidP="008A44C5">
            <w:pPr>
              <w:rPr>
                <w:rFonts w:cs="Arial"/>
                <w:b/>
                <w:sz w:val="21"/>
                <w:szCs w:val="21"/>
              </w:rPr>
            </w:pPr>
            <w:r w:rsidRPr="008A44C5">
              <w:rPr>
                <w:rFonts w:cs="Arial"/>
                <w:b/>
                <w:sz w:val="21"/>
                <w:szCs w:val="21"/>
              </w:rPr>
              <w:t>Comment</w:t>
            </w:r>
          </w:p>
        </w:tc>
      </w:tr>
      <w:tr w:rsidR="008A44C5" w:rsidRPr="008A44C5" w14:paraId="73B2C799" w14:textId="77777777" w:rsidTr="00F2187C">
        <w:trPr>
          <w:cantSplit/>
          <w:trHeight w:val="597"/>
        </w:trPr>
        <w:tc>
          <w:tcPr>
            <w:tcW w:w="289" w:type="dxa"/>
            <w:vMerge w:val="restart"/>
            <w:shd w:val="clear" w:color="auto" w:fill="A6A6A6" w:themeFill="background1" w:themeFillShade="A6"/>
            <w:textDirection w:val="btLr"/>
          </w:tcPr>
          <w:p w14:paraId="6C670024" w14:textId="77777777" w:rsidR="008A44C5" w:rsidRPr="008A44C5" w:rsidRDefault="008A44C5" w:rsidP="008A44C5">
            <w:pPr>
              <w:ind w:left="113" w:right="113"/>
              <w:jc w:val="center"/>
              <w:rPr>
                <w:rFonts w:cs="Arial"/>
                <w:b/>
                <w:sz w:val="20"/>
                <w:szCs w:val="21"/>
              </w:rPr>
            </w:pPr>
            <w:proofErr w:type="spellStart"/>
            <w:r w:rsidRPr="008A44C5">
              <w:rPr>
                <w:rFonts w:cs="Arial"/>
                <w:b/>
                <w:sz w:val="20"/>
                <w:szCs w:val="21"/>
              </w:rPr>
              <w:t>Blueteq</w:t>
            </w:r>
            <w:proofErr w:type="spellEnd"/>
            <w:r w:rsidRPr="008A44C5">
              <w:rPr>
                <w:rFonts w:cs="Arial"/>
                <w:b/>
                <w:sz w:val="20"/>
                <w:szCs w:val="21"/>
              </w:rPr>
              <w:t xml:space="preserve"> Questions</w:t>
            </w:r>
          </w:p>
        </w:tc>
        <w:tc>
          <w:tcPr>
            <w:tcW w:w="8080" w:type="dxa"/>
          </w:tcPr>
          <w:p w14:paraId="467D6821" w14:textId="77777777" w:rsidR="008A44C5" w:rsidRPr="008A44C5" w:rsidRDefault="008A44C5" w:rsidP="008A44C5">
            <w:pPr>
              <w:rPr>
                <w:rFonts w:cs="Arial"/>
                <w:sz w:val="24"/>
                <w:szCs w:val="24"/>
              </w:rPr>
            </w:pPr>
            <w:r w:rsidRPr="008A44C5">
              <w:rPr>
                <w:rFonts w:cs="Arial"/>
                <w:sz w:val="24"/>
                <w:szCs w:val="24"/>
              </w:rPr>
              <w:t>Date of positive COVID-19 PCR test</w:t>
            </w:r>
          </w:p>
          <w:p w14:paraId="541087FD" w14:textId="77777777" w:rsidR="008A44C5" w:rsidRPr="008A44C5" w:rsidRDefault="008A44C5" w:rsidP="008A44C5">
            <w:pPr>
              <w:rPr>
                <w:rFonts w:cs="Arial"/>
                <w:i/>
                <w:sz w:val="21"/>
                <w:szCs w:val="21"/>
              </w:rPr>
            </w:pPr>
            <w:r w:rsidRPr="008A44C5">
              <w:rPr>
                <w:rFonts w:cs="Arial"/>
                <w:i/>
                <w:sz w:val="24"/>
                <w:szCs w:val="24"/>
              </w:rPr>
              <w:t xml:space="preserve">Must be within 5 days of commencing </w:t>
            </w:r>
            <w:proofErr w:type="spellStart"/>
            <w:r w:rsidRPr="008A44C5">
              <w:rPr>
                <w:rFonts w:cs="Arial"/>
                <w:i/>
                <w:sz w:val="24"/>
                <w:szCs w:val="24"/>
              </w:rPr>
              <w:t>nMAB</w:t>
            </w:r>
            <w:proofErr w:type="spellEnd"/>
            <w:r w:rsidRPr="008A44C5">
              <w:rPr>
                <w:rFonts w:cs="Arial"/>
                <w:i/>
                <w:sz w:val="24"/>
                <w:szCs w:val="24"/>
              </w:rPr>
              <w:t xml:space="preserve"> or antiviral treatment</w:t>
            </w:r>
          </w:p>
        </w:tc>
        <w:tc>
          <w:tcPr>
            <w:tcW w:w="2087" w:type="dxa"/>
          </w:tcPr>
          <w:p w14:paraId="193DD220" w14:textId="77777777" w:rsidR="008A44C5" w:rsidRPr="008A44C5" w:rsidRDefault="008A44C5" w:rsidP="008A44C5">
            <w:pPr>
              <w:rPr>
                <w:rFonts w:cs="Arial"/>
                <w:sz w:val="21"/>
                <w:szCs w:val="21"/>
              </w:rPr>
            </w:pPr>
            <w:r w:rsidRPr="008A44C5">
              <w:rPr>
                <w:rFonts w:ascii="Calibri" w:eastAsia="Times New Roman" w:hAnsi="Calibri" w:cs="Times New Roman"/>
                <w:lang w:eastAsia="en-GB"/>
              </w:rPr>
              <w:fldChar w:fldCharType="begin">
                <w:ffData>
                  <w:name w:val="Text25"/>
                  <w:enabled/>
                  <w:calcOnExit w:val="0"/>
                  <w:textInput>
                    <w:default w:val="dd/mmm/yyyy"/>
                  </w:textInput>
                </w:ffData>
              </w:fldChar>
            </w:r>
            <w:r w:rsidRPr="008A44C5">
              <w:rPr>
                <w:rFonts w:ascii="Calibri" w:eastAsia="Times New Roman" w:hAnsi="Calibri" w:cs="Times New Roman"/>
                <w:lang w:eastAsia="en-GB"/>
              </w:rPr>
              <w:instrText xml:space="preserve"> FORMTEXT </w:instrText>
            </w:r>
            <w:r w:rsidRPr="008A44C5">
              <w:rPr>
                <w:rFonts w:ascii="Calibri" w:eastAsia="Times New Roman" w:hAnsi="Calibri" w:cs="Times New Roman"/>
                <w:lang w:eastAsia="en-GB"/>
              </w:rPr>
            </w:r>
            <w:r w:rsidRPr="008A44C5">
              <w:rPr>
                <w:rFonts w:ascii="Calibri" w:eastAsia="Times New Roman" w:hAnsi="Calibri" w:cs="Times New Roman"/>
                <w:lang w:eastAsia="en-GB"/>
              </w:rPr>
              <w:fldChar w:fldCharType="separate"/>
            </w:r>
            <w:r w:rsidRPr="008A44C5">
              <w:rPr>
                <w:rFonts w:ascii="Calibri" w:eastAsia="Times New Roman" w:hAnsi="Calibri" w:cs="Times New Roman"/>
                <w:noProof/>
                <w:lang w:eastAsia="en-GB"/>
              </w:rPr>
              <w:t>dd/mmm/yyyy</w:t>
            </w:r>
            <w:r w:rsidRPr="008A44C5">
              <w:rPr>
                <w:rFonts w:ascii="Calibri" w:eastAsia="Times New Roman" w:hAnsi="Calibri" w:cs="Times New Roman"/>
                <w:lang w:eastAsia="en-GB"/>
              </w:rPr>
              <w:fldChar w:fldCharType="end"/>
            </w:r>
          </w:p>
        </w:tc>
      </w:tr>
      <w:tr w:rsidR="008A44C5" w:rsidRPr="008A44C5" w14:paraId="5C85FFB9" w14:textId="77777777" w:rsidTr="00F2187C">
        <w:tc>
          <w:tcPr>
            <w:tcW w:w="289" w:type="dxa"/>
            <w:vMerge/>
            <w:shd w:val="clear" w:color="auto" w:fill="A6A6A6" w:themeFill="background1" w:themeFillShade="A6"/>
          </w:tcPr>
          <w:p w14:paraId="2CA03EB5" w14:textId="77777777" w:rsidR="008A44C5" w:rsidRPr="008A44C5" w:rsidRDefault="008A44C5" w:rsidP="008A44C5">
            <w:pPr>
              <w:rPr>
                <w:rFonts w:cs="Arial"/>
                <w:sz w:val="21"/>
                <w:szCs w:val="21"/>
              </w:rPr>
            </w:pPr>
          </w:p>
        </w:tc>
        <w:tc>
          <w:tcPr>
            <w:tcW w:w="8080" w:type="dxa"/>
            <w:tcBorders>
              <w:bottom w:val="single" w:sz="4" w:space="0" w:color="auto"/>
            </w:tcBorders>
          </w:tcPr>
          <w:p w14:paraId="1A925EA1" w14:textId="77777777" w:rsidR="008A44C5" w:rsidRPr="008A44C5" w:rsidRDefault="008A44C5" w:rsidP="008A44C5">
            <w:pPr>
              <w:rPr>
                <w:rFonts w:cstheme="minorHAnsi"/>
                <w:sz w:val="24"/>
                <w:szCs w:val="24"/>
              </w:rPr>
            </w:pPr>
            <w:r w:rsidRPr="008A44C5">
              <w:rPr>
                <w:rFonts w:cstheme="minorHAnsi"/>
                <w:sz w:val="24"/>
                <w:szCs w:val="24"/>
              </w:rPr>
              <w:t>Date of onset of symptoms</w:t>
            </w:r>
          </w:p>
          <w:p w14:paraId="7C44F4CA" w14:textId="77777777" w:rsidR="008A44C5" w:rsidRPr="008A44C5" w:rsidRDefault="008A44C5" w:rsidP="008A44C5">
            <w:pPr>
              <w:numPr>
                <w:ilvl w:val="0"/>
                <w:numId w:val="4"/>
              </w:numPr>
              <w:contextualSpacing/>
              <w:rPr>
                <w:rFonts w:eastAsia="Arial" w:cstheme="minorHAnsi"/>
                <w:i/>
                <w:sz w:val="24"/>
                <w:szCs w:val="24"/>
              </w:rPr>
            </w:pPr>
            <w:r w:rsidRPr="008A44C5">
              <w:rPr>
                <w:rFonts w:eastAsia="Arial" w:cstheme="minorHAnsi"/>
                <w:i/>
                <w:sz w:val="24"/>
                <w:szCs w:val="24"/>
              </w:rPr>
              <w:t xml:space="preserve">Must be within 5 days of commencing </w:t>
            </w:r>
            <w:proofErr w:type="spellStart"/>
            <w:r w:rsidRPr="008A44C5">
              <w:rPr>
                <w:rFonts w:eastAsia="Arial" w:cstheme="minorHAnsi"/>
                <w:i/>
                <w:sz w:val="24"/>
                <w:szCs w:val="24"/>
              </w:rPr>
              <w:t>nMAB</w:t>
            </w:r>
            <w:proofErr w:type="spellEnd"/>
            <w:r w:rsidRPr="008A44C5">
              <w:rPr>
                <w:rFonts w:eastAsia="Arial" w:cstheme="minorHAnsi"/>
                <w:i/>
                <w:sz w:val="24"/>
                <w:szCs w:val="24"/>
              </w:rPr>
              <w:t xml:space="preserve"> or antiviral treatment</w:t>
            </w:r>
          </w:p>
          <w:p w14:paraId="7C6FF353" w14:textId="52C404B2" w:rsidR="008A44C5" w:rsidRPr="008A44C5" w:rsidRDefault="008A44C5" w:rsidP="008A44C5">
            <w:pPr>
              <w:numPr>
                <w:ilvl w:val="0"/>
                <w:numId w:val="4"/>
              </w:numPr>
              <w:contextualSpacing/>
              <w:rPr>
                <w:rFonts w:eastAsia="Arial" w:cstheme="minorHAnsi"/>
                <w:i/>
                <w:sz w:val="24"/>
                <w:szCs w:val="24"/>
              </w:rPr>
            </w:pPr>
            <w:r w:rsidRPr="008A44C5">
              <w:rPr>
                <w:rFonts w:eastAsia="Arial" w:cstheme="minorHAnsi"/>
                <w:i/>
                <w:sz w:val="24"/>
                <w:szCs w:val="24"/>
              </w:rPr>
              <w:t xml:space="preserve">Symptoms of COVID-19 include feverish, chills, sore throat, cough, shortness of breath or difficulty breathing, nausea, vomiting, diarrhoea, headache, red or watery eyes, body aches, loss of taste or smell, fatigue, loss of appetite, confusion, dizziness, pressure or tight chest, chest pain, </w:t>
            </w:r>
            <w:proofErr w:type="gramStart"/>
            <w:r w:rsidRPr="008A44C5">
              <w:rPr>
                <w:rFonts w:eastAsia="Arial" w:cstheme="minorHAnsi"/>
                <w:i/>
                <w:sz w:val="24"/>
                <w:szCs w:val="24"/>
              </w:rPr>
              <w:t>stomach ache</w:t>
            </w:r>
            <w:proofErr w:type="gramEnd"/>
            <w:r w:rsidRPr="008A44C5">
              <w:rPr>
                <w:rFonts w:eastAsia="Arial" w:cstheme="minorHAnsi"/>
                <w:i/>
                <w:sz w:val="24"/>
                <w:szCs w:val="24"/>
              </w:rPr>
              <w:t>, rash, sneezing, sputum or phlegm, runny nose</w:t>
            </w:r>
          </w:p>
          <w:p w14:paraId="6DD6A06D" w14:textId="77777777" w:rsidR="008A44C5" w:rsidRPr="008A44C5" w:rsidRDefault="008A44C5" w:rsidP="008A44C5">
            <w:pPr>
              <w:numPr>
                <w:ilvl w:val="0"/>
                <w:numId w:val="4"/>
              </w:numPr>
              <w:contextualSpacing/>
              <w:rPr>
                <w:rFonts w:cstheme="minorHAnsi"/>
                <w:i/>
                <w:sz w:val="24"/>
                <w:szCs w:val="24"/>
              </w:rPr>
            </w:pPr>
            <w:r w:rsidRPr="008A44C5">
              <w:rPr>
                <w:rFonts w:eastAsia="Arial" w:cstheme="minorHAnsi"/>
                <w:i/>
                <w:sz w:val="24"/>
                <w:szCs w:val="24"/>
              </w:rPr>
              <w:t xml:space="preserve">Patients who have been symptomatic (within the specified </w:t>
            </w:r>
            <w:proofErr w:type="gramStart"/>
            <w:r w:rsidRPr="008A44C5">
              <w:rPr>
                <w:rFonts w:eastAsia="Arial" w:cstheme="minorHAnsi"/>
                <w:i/>
                <w:sz w:val="24"/>
                <w:szCs w:val="24"/>
              </w:rPr>
              <w:t>time period</w:t>
            </w:r>
            <w:proofErr w:type="gramEnd"/>
            <w:r w:rsidRPr="008A44C5">
              <w:rPr>
                <w:rFonts w:eastAsia="Arial" w:cstheme="minorHAnsi"/>
                <w:i/>
                <w:sz w:val="24"/>
                <w:szCs w:val="24"/>
              </w:rPr>
              <w:t>) but are no longer symptomatic, clinical judgement should determine suitability for treatment</w:t>
            </w:r>
          </w:p>
        </w:tc>
        <w:tc>
          <w:tcPr>
            <w:tcW w:w="2087" w:type="dxa"/>
            <w:tcBorders>
              <w:bottom w:val="single" w:sz="4" w:space="0" w:color="auto"/>
            </w:tcBorders>
          </w:tcPr>
          <w:p w14:paraId="5DD55761" w14:textId="77777777" w:rsidR="008A44C5" w:rsidRPr="008A44C5" w:rsidRDefault="008A44C5" w:rsidP="008A44C5">
            <w:pPr>
              <w:rPr>
                <w:rFonts w:cs="Arial"/>
                <w:sz w:val="21"/>
                <w:szCs w:val="21"/>
              </w:rPr>
            </w:pPr>
            <w:r w:rsidRPr="008A44C5">
              <w:rPr>
                <w:rFonts w:ascii="Calibri" w:eastAsia="Times New Roman" w:hAnsi="Calibri" w:cs="Times New Roman"/>
                <w:lang w:eastAsia="en-GB"/>
              </w:rPr>
              <w:fldChar w:fldCharType="begin">
                <w:ffData>
                  <w:name w:val="Text25"/>
                  <w:enabled/>
                  <w:calcOnExit w:val="0"/>
                  <w:textInput>
                    <w:default w:val="dd/mmm/yyyy"/>
                  </w:textInput>
                </w:ffData>
              </w:fldChar>
            </w:r>
            <w:bookmarkStart w:id="0" w:name="Text25"/>
            <w:r w:rsidRPr="008A44C5">
              <w:rPr>
                <w:rFonts w:ascii="Calibri" w:eastAsia="Times New Roman" w:hAnsi="Calibri" w:cs="Times New Roman"/>
                <w:lang w:eastAsia="en-GB"/>
              </w:rPr>
              <w:instrText xml:space="preserve"> FORMTEXT </w:instrText>
            </w:r>
            <w:r w:rsidRPr="008A44C5">
              <w:rPr>
                <w:rFonts w:ascii="Calibri" w:eastAsia="Times New Roman" w:hAnsi="Calibri" w:cs="Times New Roman"/>
                <w:lang w:eastAsia="en-GB"/>
              </w:rPr>
            </w:r>
            <w:r w:rsidRPr="008A44C5">
              <w:rPr>
                <w:rFonts w:ascii="Calibri" w:eastAsia="Times New Roman" w:hAnsi="Calibri" w:cs="Times New Roman"/>
                <w:lang w:eastAsia="en-GB"/>
              </w:rPr>
              <w:fldChar w:fldCharType="separate"/>
            </w:r>
            <w:r w:rsidRPr="008A44C5">
              <w:rPr>
                <w:rFonts w:ascii="Calibri" w:eastAsia="Times New Roman" w:hAnsi="Calibri" w:cs="Times New Roman"/>
                <w:noProof/>
                <w:lang w:eastAsia="en-GB"/>
              </w:rPr>
              <w:t>dd/mmm/yyyy</w:t>
            </w:r>
            <w:r w:rsidRPr="008A44C5">
              <w:rPr>
                <w:rFonts w:ascii="Calibri" w:eastAsia="Times New Roman" w:hAnsi="Calibri" w:cs="Times New Roman"/>
                <w:lang w:eastAsia="en-GB"/>
              </w:rPr>
              <w:fldChar w:fldCharType="end"/>
            </w:r>
            <w:bookmarkEnd w:id="0"/>
          </w:p>
        </w:tc>
      </w:tr>
      <w:tr w:rsidR="008A44C5" w:rsidRPr="008A44C5" w14:paraId="6A609D89" w14:textId="77777777" w:rsidTr="00F2187C">
        <w:tc>
          <w:tcPr>
            <w:tcW w:w="289" w:type="dxa"/>
            <w:vMerge/>
            <w:shd w:val="clear" w:color="auto" w:fill="A6A6A6" w:themeFill="background1" w:themeFillShade="A6"/>
          </w:tcPr>
          <w:p w14:paraId="1BB05418" w14:textId="77777777" w:rsidR="008A44C5" w:rsidRPr="008A44C5" w:rsidRDefault="008A44C5" w:rsidP="008A44C5">
            <w:pPr>
              <w:rPr>
                <w:rFonts w:cs="Arial"/>
                <w:sz w:val="21"/>
                <w:szCs w:val="21"/>
              </w:rPr>
            </w:pPr>
          </w:p>
        </w:tc>
        <w:tc>
          <w:tcPr>
            <w:tcW w:w="8080" w:type="dxa"/>
            <w:tcBorders>
              <w:bottom w:val="nil"/>
            </w:tcBorders>
          </w:tcPr>
          <w:p w14:paraId="5696E82C" w14:textId="77777777" w:rsidR="008A44C5" w:rsidRPr="008A44C5" w:rsidRDefault="008A44C5" w:rsidP="008A44C5">
            <w:pPr>
              <w:rPr>
                <w:rFonts w:cstheme="minorHAnsi"/>
                <w:sz w:val="24"/>
                <w:szCs w:val="24"/>
              </w:rPr>
            </w:pPr>
            <w:r w:rsidRPr="008A44C5">
              <w:rPr>
                <w:rFonts w:cstheme="minorHAnsi"/>
                <w:sz w:val="24"/>
                <w:szCs w:val="24"/>
              </w:rPr>
              <w:t>Evidence of ‘Highest Risk’ status</w:t>
            </w:r>
          </w:p>
          <w:p w14:paraId="7655B673" w14:textId="77777777" w:rsidR="008A44C5" w:rsidRPr="008A44C5" w:rsidRDefault="008A44C5" w:rsidP="008A44C5">
            <w:pPr>
              <w:numPr>
                <w:ilvl w:val="0"/>
                <w:numId w:val="4"/>
              </w:numPr>
              <w:contextualSpacing/>
              <w:rPr>
                <w:rFonts w:cstheme="minorHAnsi"/>
                <w:i/>
                <w:sz w:val="24"/>
                <w:szCs w:val="24"/>
              </w:rPr>
            </w:pPr>
            <w:r w:rsidRPr="008A44C5">
              <w:rPr>
                <w:rFonts w:eastAsia="Arial" w:cstheme="minorHAnsi"/>
                <w:i/>
                <w:sz w:val="24"/>
                <w:szCs w:val="24"/>
              </w:rPr>
              <w:t>Patient must be within at least one priority ‘highest’ risk cohorts (</w:t>
            </w:r>
            <w:r w:rsidRPr="008A44C5">
              <w:rPr>
                <w:rFonts w:eastAsia="Arial" w:cstheme="minorHAnsi"/>
                <w:b/>
                <w:i/>
                <w:sz w:val="24"/>
                <w:szCs w:val="24"/>
              </w:rPr>
              <w:t>see appendix 1</w:t>
            </w:r>
            <w:r w:rsidRPr="008A44C5">
              <w:rPr>
                <w:rFonts w:eastAsia="Arial" w:cstheme="minorHAnsi"/>
                <w:i/>
                <w:sz w:val="24"/>
                <w:szCs w:val="24"/>
              </w:rPr>
              <w:t>)</w:t>
            </w:r>
          </w:p>
        </w:tc>
        <w:tc>
          <w:tcPr>
            <w:tcW w:w="2087" w:type="dxa"/>
            <w:tcBorders>
              <w:bottom w:val="nil"/>
            </w:tcBorders>
            <w:vAlign w:val="bottom"/>
          </w:tcPr>
          <w:p w14:paraId="51454B25" w14:textId="77777777" w:rsidR="008A44C5" w:rsidRPr="008A44C5" w:rsidRDefault="008A44C5" w:rsidP="008A44C5">
            <w:pPr>
              <w:rPr>
                <w:rFonts w:cs="Arial"/>
                <w:b/>
                <w:sz w:val="21"/>
                <w:szCs w:val="21"/>
              </w:rPr>
            </w:pPr>
            <w:r w:rsidRPr="008A44C5">
              <w:rPr>
                <w:rFonts w:cs="Arial"/>
                <w:b/>
                <w:sz w:val="21"/>
                <w:szCs w:val="21"/>
              </w:rPr>
              <w:t xml:space="preserve">Tick at least one condition </w:t>
            </w:r>
            <w:r w:rsidRPr="008A44C5">
              <w:rPr>
                <w:b/>
                <w:sz w:val="18"/>
                <w:szCs w:val="16"/>
              </w:rPr>
              <w:fldChar w:fldCharType="begin">
                <w:ffData>
                  <w:name w:val=""/>
                  <w:enabled/>
                  <w:calcOnExit w:val="0"/>
                  <w:checkBox>
                    <w:sizeAuto/>
                    <w:default w:val="0"/>
                  </w:checkBox>
                </w:ffData>
              </w:fldChar>
            </w:r>
            <w:r w:rsidRPr="008A44C5">
              <w:rPr>
                <w:b/>
                <w:sz w:val="18"/>
                <w:szCs w:val="16"/>
              </w:rPr>
              <w:instrText xml:space="preserve"> FORMCHECKBOX </w:instrText>
            </w:r>
            <w:r w:rsidR="00EB2A09">
              <w:rPr>
                <w:b/>
                <w:sz w:val="18"/>
                <w:szCs w:val="16"/>
              </w:rPr>
            </w:r>
            <w:r w:rsidR="00EB2A09">
              <w:rPr>
                <w:b/>
                <w:sz w:val="18"/>
                <w:szCs w:val="16"/>
              </w:rPr>
              <w:fldChar w:fldCharType="separate"/>
            </w:r>
            <w:r w:rsidRPr="008A44C5">
              <w:rPr>
                <w:b/>
                <w:sz w:val="18"/>
                <w:szCs w:val="16"/>
              </w:rPr>
              <w:fldChar w:fldCharType="end"/>
            </w:r>
          </w:p>
        </w:tc>
      </w:tr>
      <w:tr w:rsidR="008A44C5" w:rsidRPr="008A44C5" w14:paraId="73C7AE44" w14:textId="77777777" w:rsidTr="00F2187C">
        <w:tc>
          <w:tcPr>
            <w:tcW w:w="289" w:type="dxa"/>
            <w:vMerge/>
            <w:shd w:val="clear" w:color="auto" w:fill="A6A6A6" w:themeFill="background1" w:themeFillShade="A6"/>
          </w:tcPr>
          <w:p w14:paraId="17887B78" w14:textId="77777777" w:rsidR="008A44C5" w:rsidRPr="008A44C5" w:rsidRDefault="008A44C5" w:rsidP="008A44C5">
            <w:pPr>
              <w:ind w:left="720"/>
              <w:rPr>
                <w:b/>
                <w:sz w:val="18"/>
                <w:szCs w:val="16"/>
              </w:rPr>
            </w:pPr>
          </w:p>
        </w:tc>
        <w:tc>
          <w:tcPr>
            <w:tcW w:w="8080" w:type="dxa"/>
            <w:tcBorders>
              <w:top w:val="nil"/>
              <w:bottom w:val="nil"/>
            </w:tcBorders>
          </w:tcPr>
          <w:p w14:paraId="69F5773E" w14:textId="77777777" w:rsidR="008A44C5" w:rsidRPr="008A44C5" w:rsidRDefault="008A44C5" w:rsidP="008A44C5">
            <w:pPr>
              <w:numPr>
                <w:ilvl w:val="1"/>
                <w:numId w:val="4"/>
              </w:numPr>
              <w:spacing w:line="259" w:lineRule="auto"/>
              <w:contextualSpacing/>
              <w:rPr>
                <w:rFonts w:cstheme="minorHAnsi"/>
                <w:sz w:val="24"/>
                <w:szCs w:val="24"/>
              </w:rPr>
            </w:pPr>
            <w:r w:rsidRPr="008A44C5">
              <w:rPr>
                <w:rFonts w:cstheme="minorHAnsi"/>
                <w:b/>
                <w:sz w:val="24"/>
                <w:szCs w:val="24"/>
              </w:rPr>
              <w:fldChar w:fldCharType="begin">
                <w:ffData>
                  <w:name w:val=""/>
                  <w:enabled/>
                  <w:calcOnExit w:val="0"/>
                  <w:checkBox>
                    <w:sizeAuto/>
                    <w:default w:val="0"/>
                  </w:checkBox>
                </w:ffData>
              </w:fldChar>
            </w:r>
            <w:r w:rsidRPr="008A44C5">
              <w:rPr>
                <w:rFonts w:cstheme="minorHAnsi"/>
                <w:b/>
                <w:sz w:val="24"/>
                <w:szCs w:val="24"/>
              </w:rPr>
              <w:instrText xml:space="preserve"> FORMCHECKBOX </w:instrText>
            </w:r>
            <w:r w:rsidR="00EB2A09">
              <w:rPr>
                <w:rFonts w:cstheme="minorHAnsi"/>
                <w:b/>
                <w:sz w:val="24"/>
                <w:szCs w:val="24"/>
              </w:rPr>
            </w:r>
            <w:r w:rsidR="00EB2A09">
              <w:rPr>
                <w:rFonts w:cstheme="minorHAnsi"/>
                <w:b/>
                <w:sz w:val="24"/>
                <w:szCs w:val="24"/>
              </w:rPr>
              <w:fldChar w:fldCharType="separate"/>
            </w:r>
            <w:r w:rsidRPr="008A44C5">
              <w:rPr>
                <w:rFonts w:cstheme="minorHAnsi"/>
                <w:b/>
                <w:sz w:val="24"/>
                <w:szCs w:val="24"/>
              </w:rPr>
              <w:fldChar w:fldCharType="end"/>
            </w:r>
            <w:r w:rsidRPr="008A44C5">
              <w:rPr>
                <w:rFonts w:cstheme="minorHAnsi"/>
                <w:b/>
                <w:sz w:val="24"/>
                <w:szCs w:val="24"/>
              </w:rPr>
              <w:t xml:space="preserve"> </w:t>
            </w:r>
            <w:r w:rsidRPr="008A44C5">
              <w:rPr>
                <w:rFonts w:cstheme="minorHAnsi"/>
                <w:i/>
                <w:sz w:val="24"/>
                <w:szCs w:val="24"/>
              </w:rPr>
              <w:t>Patients with Down’s Syndrome</w:t>
            </w:r>
          </w:p>
        </w:tc>
        <w:tc>
          <w:tcPr>
            <w:tcW w:w="2087" w:type="dxa"/>
            <w:tcBorders>
              <w:top w:val="nil"/>
              <w:bottom w:val="nil"/>
            </w:tcBorders>
          </w:tcPr>
          <w:p w14:paraId="08EC7EC3" w14:textId="77777777" w:rsidR="008A44C5" w:rsidRPr="008A44C5" w:rsidRDefault="008A44C5" w:rsidP="008A44C5">
            <w:pPr>
              <w:rPr>
                <w:rFonts w:cs="Arial"/>
                <w:sz w:val="21"/>
                <w:szCs w:val="21"/>
              </w:rPr>
            </w:pPr>
          </w:p>
        </w:tc>
      </w:tr>
      <w:tr w:rsidR="008A44C5" w:rsidRPr="008A44C5" w14:paraId="23CE0BE7" w14:textId="77777777" w:rsidTr="00F2187C">
        <w:trPr>
          <w:trHeight w:val="59"/>
        </w:trPr>
        <w:tc>
          <w:tcPr>
            <w:tcW w:w="289" w:type="dxa"/>
            <w:vMerge/>
            <w:shd w:val="clear" w:color="auto" w:fill="A6A6A6" w:themeFill="background1" w:themeFillShade="A6"/>
          </w:tcPr>
          <w:p w14:paraId="4E756615" w14:textId="77777777" w:rsidR="008A44C5" w:rsidRPr="008A44C5" w:rsidRDefault="008A44C5" w:rsidP="008A44C5">
            <w:pPr>
              <w:ind w:left="720"/>
              <w:rPr>
                <w:b/>
                <w:sz w:val="18"/>
                <w:szCs w:val="16"/>
              </w:rPr>
            </w:pPr>
          </w:p>
        </w:tc>
        <w:tc>
          <w:tcPr>
            <w:tcW w:w="8080" w:type="dxa"/>
            <w:tcBorders>
              <w:top w:val="nil"/>
              <w:bottom w:val="nil"/>
            </w:tcBorders>
          </w:tcPr>
          <w:p w14:paraId="08DA0561" w14:textId="77777777" w:rsidR="008A44C5" w:rsidRPr="008A44C5" w:rsidRDefault="008A44C5" w:rsidP="008A44C5">
            <w:pPr>
              <w:numPr>
                <w:ilvl w:val="1"/>
                <w:numId w:val="4"/>
              </w:numPr>
              <w:spacing w:line="259" w:lineRule="auto"/>
              <w:contextualSpacing/>
              <w:rPr>
                <w:rFonts w:cstheme="minorHAnsi"/>
                <w:sz w:val="24"/>
                <w:szCs w:val="24"/>
              </w:rPr>
            </w:pPr>
            <w:r w:rsidRPr="008A44C5">
              <w:rPr>
                <w:rFonts w:cstheme="minorHAnsi"/>
                <w:b/>
                <w:sz w:val="24"/>
                <w:szCs w:val="24"/>
              </w:rPr>
              <w:fldChar w:fldCharType="begin">
                <w:ffData>
                  <w:name w:val=""/>
                  <w:enabled/>
                  <w:calcOnExit w:val="0"/>
                  <w:checkBox>
                    <w:sizeAuto/>
                    <w:default w:val="0"/>
                  </w:checkBox>
                </w:ffData>
              </w:fldChar>
            </w:r>
            <w:r w:rsidRPr="008A44C5">
              <w:rPr>
                <w:rFonts w:cstheme="minorHAnsi"/>
                <w:b/>
                <w:sz w:val="24"/>
                <w:szCs w:val="24"/>
              </w:rPr>
              <w:instrText xml:space="preserve"> FORMCHECKBOX </w:instrText>
            </w:r>
            <w:r w:rsidR="00EB2A09">
              <w:rPr>
                <w:rFonts w:cstheme="minorHAnsi"/>
                <w:b/>
                <w:sz w:val="24"/>
                <w:szCs w:val="24"/>
              </w:rPr>
            </w:r>
            <w:r w:rsidR="00EB2A09">
              <w:rPr>
                <w:rFonts w:cstheme="minorHAnsi"/>
                <w:b/>
                <w:sz w:val="24"/>
                <w:szCs w:val="24"/>
              </w:rPr>
              <w:fldChar w:fldCharType="separate"/>
            </w:r>
            <w:r w:rsidRPr="008A44C5">
              <w:rPr>
                <w:rFonts w:cstheme="minorHAnsi"/>
                <w:b/>
                <w:sz w:val="24"/>
                <w:szCs w:val="24"/>
              </w:rPr>
              <w:fldChar w:fldCharType="end"/>
            </w:r>
            <w:r w:rsidRPr="008A44C5">
              <w:rPr>
                <w:rFonts w:cstheme="minorHAnsi"/>
                <w:b/>
                <w:sz w:val="24"/>
                <w:szCs w:val="24"/>
              </w:rPr>
              <w:t xml:space="preserve"> </w:t>
            </w:r>
            <w:r w:rsidRPr="008A44C5">
              <w:rPr>
                <w:rFonts w:cstheme="minorHAnsi"/>
                <w:i/>
                <w:sz w:val="24"/>
                <w:szCs w:val="24"/>
              </w:rPr>
              <w:t>Patients with Sickle cell disease</w:t>
            </w:r>
          </w:p>
        </w:tc>
        <w:tc>
          <w:tcPr>
            <w:tcW w:w="2087" w:type="dxa"/>
            <w:tcBorders>
              <w:top w:val="nil"/>
              <w:bottom w:val="nil"/>
            </w:tcBorders>
          </w:tcPr>
          <w:p w14:paraId="2F0D143C" w14:textId="77777777" w:rsidR="008A44C5" w:rsidRPr="008A44C5" w:rsidRDefault="008A44C5" w:rsidP="008A44C5">
            <w:pPr>
              <w:rPr>
                <w:rFonts w:cs="Arial"/>
                <w:sz w:val="21"/>
                <w:szCs w:val="21"/>
              </w:rPr>
            </w:pPr>
          </w:p>
        </w:tc>
      </w:tr>
      <w:tr w:rsidR="008A44C5" w:rsidRPr="008A44C5" w14:paraId="66A6C86E" w14:textId="77777777" w:rsidTr="00F2187C">
        <w:tc>
          <w:tcPr>
            <w:tcW w:w="289" w:type="dxa"/>
            <w:vMerge/>
            <w:shd w:val="clear" w:color="auto" w:fill="A6A6A6" w:themeFill="background1" w:themeFillShade="A6"/>
          </w:tcPr>
          <w:p w14:paraId="32AB690C" w14:textId="77777777" w:rsidR="008A44C5" w:rsidRPr="008A44C5" w:rsidRDefault="008A44C5" w:rsidP="008A44C5">
            <w:pPr>
              <w:ind w:left="720"/>
              <w:rPr>
                <w:b/>
                <w:sz w:val="18"/>
                <w:szCs w:val="16"/>
              </w:rPr>
            </w:pPr>
          </w:p>
        </w:tc>
        <w:tc>
          <w:tcPr>
            <w:tcW w:w="8080" w:type="dxa"/>
            <w:tcBorders>
              <w:top w:val="nil"/>
              <w:bottom w:val="nil"/>
            </w:tcBorders>
          </w:tcPr>
          <w:p w14:paraId="74E9B9D0" w14:textId="77777777" w:rsidR="008A44C5" w:rsidRPr="008A44C5" w:rsidRDefault="008A44C5" w:rsidP="008A44C5">
            <w:pPr>
              <w:numPr>
                <w:ilvl w:val="1"/>
                <w:numId w:val="4"/>
              </w:numPr>
              <w:spacing w:line="259" w:lineRule="auto"/>
              <w:contextualSpacing/>
              <w:rPr>
                <w:rFonts w:cstheme="minorHAnsi"/>
                <w:sz w:val="24"/>
                <w:szCs w:val="24"/>
              </w:rPr>
            </w:pPr>
            <w:r w:rsidRPr="008A44C5">
              <w:rPr>
                <w:rFonts w:cstheme="minorHAnsi"/>
                <w:b/>
                <w:sz w:val="24"/>
                <w:szCs w:val="24"/>
              </w:rPr>
              <w:fldChar w:fldCharType="begin">
                <w:ffData>
                  <w:name w:val=""/>
                  <w:enabled/>
                  <w:calcOnExit w:val="0"/>
                  <w:checkBox>
                    <w:sizeAuto/>
                    <w:default w:val="0"/>
                  </w:checkBox>
                </w:ffData>
              </w:fldChar>
            </w:r>
            <w:r w:rsidRPr="008A44C5">
              <w:rPr>
                <w:rFonts w:cstheme="minorHAnsi"/>
                <w:b/>
                <w:sz w:val="24"/>
                <w:szCs w:val="24"/>
              </w:rPr>
              <w:instrText xml:space="preserve"> FORMCHECKBOX </w:instrText>
            </w:r>
            <w:r w:rsidR="00EB2A09">
              <w:rPr>
                <w:rFonts w:cstheme="minorHAnsi"/>
                <w:b/>
                <w:sz w:val="24"/>
                <w:szCs w:val="24"/>
              </w:rPr>
            </w:r>
            <w:r w:rsidR="00EB2A09">
              <w:rPr>
                <w:rFonts w:cstheme="minorHAnsi"/>
                <w:b/>
                <w:sz w:val="24"/>
                <w:szCs w:val="24"/>
              </w:rPr>
              <w:fldChar w:fldCharType="separate"/>
            </w:r>
            <w:r w:rsidRPr="008A44C5">
              <w:rPr>
                <w:rFonts w:cstheme="minorHAnsi"/>
                <w:b/>
                <w:sz w:val="24"/>
                <w:szCs w:val="24"/>
              </w:rPr>
              <w:fldChar w:fldCharType="end"/>
            </w:r>
            <w:r w:rsidRPr="008A44C5">
              <w:rPr>
                <w:rFonts w:cstheme="minorHAnsi"/>
                <w:b/>
                <w:sz w:val="24"/>
                <w:szCs w:val="24"/>
              </w:rPr>
              <w:t xml:space="preserve"> </w:t>
            </w:r>
            <w:r w:rsidRPr="008A44C5">
              <w:rPr>
                <w:rFonts w:cstheme="minorHAnsi"/>
                <w:i/>
                <w:sz w:val="24"/>
                <w:szCs w:val="24"/>
              </w:rPr>
              <w:t>Patients with a solid cancer</w:t>
            </w:r>
          </w:p>
        </w:tc>
        <w:tc>
          <w:tcPr>
            <w:tcW w:w="2087" w:type="dxa"/>
            <w:tcBorders>
              <w:top w:val="nil"/>
              <w:bottom w:val="nil"/>
            </w:tcBorders>
          </w:tcPr>
          <w:p w14:paraId="458A5334" w14:textId="77777777" w:rsidR="008A44C5" w:rsidRPr="008A44C5" w:rsidRDefault="008A44C5" w:rsidP="008A44C5">
            <w:pPr>
              <w:rPr>
                <w:rFonts w:cs="Arial"/>
                <w:sz w:val="21"/>
                <w:szCs w:val="21"/>
              </w:rPr>
            </w:pPr>
          </w:p>
        </w:tc>
      </w:tr>
      <w:tr w:rsidR="008A44C5" w:rsidRPr="008A44C5" w14:paraId="43B3DB21" w14:textId="77777777" w:rsidTr="00F2187C">
        <w:tc>
          <w:tcPr>
            <w:tcW w:w="289" w:type="dxa"/>
            <w:vMerge/>
          </w:tcPr>
          <w:p w14:paraId="27641C4C" w14:textId="77777777" w:rsidR="008A44C5" w:rsidRPr="008A44C5" w:rsidRDefault="008A44C5" w:rsidP="008A44C5">
            <w:pPr>
              <w:ind w:left="720"/>
              <w:rPr>
                <w:b/>
                <w:sz w:val="18"/>
                <w:szCs w:val="16"/>
              </w:rPr>
            </w:pPr>
          </w:p>
        </w:tc>
        <w:tc>
          <w:tcPr>
            <w:tcW w:w="8080" w:type="dxa"/>
            <w:tcBorders>
              <w:top w:val="nil"/>
              <w:bottom w:val="nil"/>
            </w:tcBorders>
          </w:tcPr>
          <w:p w14:paraId="469E5E82" w14:textId="77777777" w:rsidR="008A44C5" w:rsidRPr="008A44C5" w:rsidRDefault="008A44C5" w:rsidP="008A44C5">
            <w:pPr>
              <w:numPr>
                <w:ilvl w:val="1"/>
                <w:numId w:val="4"/>
              </w:numPr>
              <w:spacing w:line="259" w:lineRule="auto"/>
              <w:contextualSpacing/>
              <w:rPr>
                <w:rFonts w:cstheme="minorHAnsi"/>
                <w:sz w:val="24"/>
                <w:szCs w:val="24"/>
              </w:rPr>
            </w:pPr>
            <w:r w:rsidRPr="008A44C5">
              <w:rPr>
                <w:rFonts w:cstheme="minorHAnsi"/>
                <w:b/>
                <w:sz w:val="24"/>
                <w:szCs w:val="24"/>
              </w:rPr>
              <w:fldChar w:fldCharType="begin">
                <w:ffData>
                  <w:name w:val=""/>
                  <w:enabled/>
                  <w:calcOnExit w:val="0"/>
                  <w:checkBox>
                    <w:sizeAuto/>
                    <w:default w:val="0"/>
                  </w:checkBox>
                </w:ffData>
              </w:fldChar>
            </w:r>
            <w:r w:rsidRPr="008A44C5">
              <w:rPr>
                <w:rFonts w:cstheme="minorHAnsi"/>
                <w:b/>
                <w:sz w:val="24"/>
                <w:szCs w:val="24"/>
              </w:rPr>
              <w:instrText xml:space="preserve"> FORMCHECKBOX </w:instrText>
            </w:r>
            <w:r w:rsidR="00EB2A09">
              <w:rPr>
                <w:rFonts w:cstheme="minorHAnsi"/>
                <w:b/>
                <w:sz w:val="24"/>
                <w:szCs w:val="24"/>
              </w:rPr>
            </w:r>
            <w:r w:rsidR="00EB2A09">
              <w:rPr>
                <w:rFonts w:cstheme="minorHAnsi"/>
                <w:b/>
                <w:sz w:val="24"/>
                <w:szCs w:val="24"/>
              </w:rPr>
              <w:fldChar w:fldCharType="separate"/>
            </w:r>
            <w:r w:rsidRPr="008A44C5">
              <w:rPr>
                <w:rFonts w:cstheme="minorHAnsi"/>
                <w:b/>
                <w:sz w:val="24"/>
                <w:szCs w:val="24"/>
              </w:rPr>
              <w:fldChar w:fldCharType="end"/>
            </w:r>
            <w:r w:rsidRPr="008A44C5">
              <w:rPr>
                <w:rFonts w:cstheme="minorHAnsi"/>
                <w:b/>
                <w:sz w:val="24"/>
                <w:szCs w:val="24"/>
              </w:rPr>
              <w:t xml:space="preserve"> </w:t>
            </w:r>
            <w:r w:rsidRPr="008A44C5">
              <w:rPr>
                <w:rFonts w:cstheme="minorHAnsi"/>
                <w:i/>
                <w:sz w:val="24"/>
                <w:szCs w:val="24"/>
              </w:rPr>
              <w:t>Patients with a haematologic malignancy</w:t>
            </w:r>
          </w:p>
        </w:tc>
        <w:tc>
          <w:tcPr>
            <w:tcW w:w="2087" w:type="dxa"/>
            <w:tcBorders>
              <w:top w:val="nil"/>
              <w:bottom w:val="nil"/>
            </w:tcBorders>
          </w:tcPr>
          <w:p w14:paraId="449C8555" w14:textId="77777777" w:rsidR="008A44C5" w:rsidRPr="008A44C5" w:rsidRDefault="008A44C5" w:rsidP="008A44C5">
            <w:pPr>
              <w:rPr>
                <w:rFonts w:cs="Arial"/>
                <w:sz w:val="21"/>
                <w:szCs w:val="21"/>
              </w:rPr>
            </w:pPr>
          </w:p>
        </w:tc>
      </w:tr>
      <w:tr w:rsidR="008A44C5" w:rsidRPr="008A44C5" w14:paraId="01E22DEE" w14:textId="77777777" w:rsidTr="00F2187C">
        <w:tc>
          <w:tcPr>
            <w:tcW w:w="289" w:type="dxa"/>
            <w:vMerge/>
          </w:tcPr>
          <w:p w14:paraId="65EA653E" w14:textId="77777777" w:rsidR="008A44C5" w:rsidRPr="008A44C5" w:rsidRDefault="008A44C5" w:rsidP="008A44C5">
            <w:pPr>
              <w:ind w:left="720"/>
              <w:rPr>
                <w:b/>
                <w:sz w:val="18"/>
                <w:szCs w:val="16"/>
              </w:rPr>
            </w:pPr>
          </w:p>
        </w:tc>
        <w:tc>
          <w:tcPr>
            <w:tcW w:w="8080" w:type="dxa"/>
            <w:tcBorders>
              <w:top w:val="nil"/>
              <w:bottom w:val="nil"/>
            </w:tcBorders>
          </w:tcPr>
          <w:p w14:paraId="6C3AD6B5" w14:textId="77777777" w:rsidR="008A44C5" w:rsidRPr="008A44C5" w:rsidRDefault="008A44C5" w:rsidP="008A44C5">
            <w:pPr>
              <w:numPr>
                <w:ilvl w:val="1"/>
                <w:numId w:val="4"/>
              </w:numPr>
              <w:spacing w:line="259" w:lineRule="auto"/>
              <w:contextualSpacing/>
              <w:rPr>
                <w:rFonts w:cstheme="minorHAnsi"/>
                <w:sz w:val="24"/>
                <w:szCs w:val="24"/>
              </w:rPr>
            </w:pPr>
            <w:r w:rsidRPr="008A44C5">
              <w:rPr>
                <w:rFonts w:cstheme="minorHAnsi"/>
                <w:b/>
                <w:sz w:val="24"/>
                <w:szCs w:val="24"/>
              </w:rPr>
              <w:fldChar w:fldCharType="begin">
                <w:ffData>
                  <w:name w:val=""/>
                  <w:enabled/>
                  <w:calcOnExit w:val="0"/>
                  <w:checkBox>
                    <w:sizeAuto/>
                    <w:default w:val="0"/>
                  </w:checkBox>
                </w:ffData>
              </w:fldChar>
            </w:r>
            <w:r w:rsidRPr="008A44C5">
              <w:rPr>
                <w:rFonts w:cstheme="minorHAnsi"/>
                <w:b/>
                <w:sz w:val="24"/>
                <w:szCs w:val="24"/>
              </w:rPr>
              <w:instrText xml:space="preserve"> FORMCHECKBOX </w:instrText>
            </w:r>
            <w:r w:rsidR="00EB2A09">
              <w:rPr>
                <w:rFonts w:cstheme="minorHAnsi"/>
                <w:b/>
                <w:sz w:val="24"/>
                <w:szCs w:val="24"/>
              </w:rPr>
            </w:r>
            <w:r w:rsidR="00EB2A09">
              <w:rPr>
                <w:rFonts w:cstheme="minorHAnsi"/>
                <w:b/>
                <w:sz w:val="24"/>
                <w:szCs w:val="24"/>
              </w:rPr>
              <w:fldChar w:fldCharType="separate"/>
            </w:r>
            <w:r w:rsidRPr="008A44C5">
              <w:rPr>
                <w:rFonts w:cstheme="minorHAnsi"/>
                <w:b/>
                <w:sz w:val="24"/>
                <w:szCs w:val="24"/>
              </w:rPr>
              <w:fldChar w:fldCharType="end"/>
            </w:r>
            <w:r w:rsidRPr="008A44C5">
              <w:rPr>
                <w:rFonts w:cstheme="minorHAnsi"/>
                <w:b/>
                <w:sz w:val="24"/>
                <w:szCs w:val="24"/>
              </w:rPr>
              <w:t xml:space="preserve"> </w:t>
            </w:r>
            <w:r w:rsidRPr="008A44C5">
              <w:rPr>
                <w:rFonts w:cstheme="minorHAnsi"/>
                <w:i/>
                <w:sz w:val="24"/>
                <w:szCs w:val="24"/>
              </w:rPr>
              <w:t>Patients with renal disease</w:t>
            </w:r>
          </w:p>
        </w:tc>
        <w:tc>
          <w:tcPr>
            <w:tcW w:w="2087" w:type="dxa"/>
            <w:tcBorders>
              <w:top w:val="nil"/>
              <w:bottom w:val="nil"/>
            </w:tcBorders>
          </w:tcPr>
          <w:p w14:paraId="284BE022" w14:textId="77777777" w:rsidR="008A44C5" w:rsidRPr="008A44C5" w:rsidRDefault="008A44C5" w:rsidP="008A44C5">
            <w:pPr>
              <w:rPr>
                <w:rFonts w:cs="Arial"/>
                <w:sz w:val="21"/>
                <w:szCs w:val="21"/>
              </w:rPr>
            </w:pPr>
          </w:p>
        </w:tc>
      </w:tr>
      <w:tr w:rsidR="008A44C5" w:rsidRPr="008A44C5" w14:paraId="2B266968" w14:textId="77777777" w:rsidTr="00F2187C">
        <w:tc>
          <w:tcPr>
            <w:tcW w:w="289" w:type="dxa"/>
            <w:vMerge/>
          </w:tcPr>
          <w:p w14:paraId="5D08B211" w14:textId="77777777" w:rsidR="008A44C5" w:rsidRPr="008A44C5" w:rsidRDefault="008A44C5" w:rsidP="008A44C5">
            <w:pPr>
              <w:ind w:left="720"/>
              <w:rPr>
                <w:b/>
                <w:sz w:val="18"/>
                <w:szCs w:val="16"/>
              </w:rPr>
            </w:pPr>
          </w:p>
        </w:tc>
        <w:tc>
          <w:tcPr>
            <w:tcW w:w="8080" w:type="dxa"/>
            <w:tcBorders>
              <w:top w:val="nil"/>
              <w:bottom w:val="nil"/>
            </w:tcBorders>
          </w:tcPr>
          <w:p w14:paraId="31A40F45" w14:textId="77777777" w:rsidR="008A44C5" w:rsidRPr="008A44C5" w:rsidRDefault="008A44C5" w:rsidP="008A44C5">
            <w:pPr>
              <w:numPr>
                <w:ilvl w:val="1"/>
                <w:numId w:val="4"/>
              </w:numPr>
              <w:spacing w:line="259" w:lineRule="auto"/>
              <w:contextualSpacing/>
              <w:rPr>
                <w:rFonts w:cstheme="minorHAnsi"/>
                <w:sz w:val="24"/>
                <w:szCs w:val="24"/>
              </w:rPr>
            </w:pPr>
            <w:r w:rsidRPr="008A44C5">
              <w:rPr>
                <w:rFonts w:cstheme="minorHAnsi"/>
                <w:b/>
                <w:sz w:val="24"/>
                <w:szCs w:val="24"/>
              </w:rPr>
              <w:fldChar w:fldCharType="begin">
                <w:ffData>
                  <w:name w:val=""/>
                  <w:enabled/>
                  <w:calcOnExit w:val="0"/>
                  <w:checkBox>
                    <w:sizeAuto/>
                    <w:default w:val="0"/>
                  </w:checkBox>
                </w:ffData>
              </w:fldChar>
            </w:r>
            <w:r w:rsidRPr="008A44C5">
              <w:rPr>
                <w:rFonts w:cstheme="minorHAnsi"/>
                <w:b/>
                <w:sz w:val="24"/>
                <w:szCs w:val="24"/>
              </w:rPr>
              <w:instrText xml:space="preserve"> FORMCHECKBOX </w:instrText>
            </w:r>
            <w:r w:rsidR="00EB2A09">
              <w:rPr>
                <w:rFonts w:cstheme="minorHAnsi"/>
                <w:b/>
                <w:sz w:val="24"/>
                <w:szCs w:val="24"/>
              </w:rPr>
            </w:r>
            <w:r w:rsidR="00EB2A09">
              <w:rPr>
                <w:rFonts w:cstheme="minorHAnsi"/>
                <w:b/>
                <w:sz w:val="24"/>
                <w:szCs w:val="24"/>
              </w:rPr>
              <w:fldChar w:fldCharType="separate"/>
            </w:r>
            <w:r w:rsidRPr="008A44C5">
              <w:rPr>
                <w:rFonts w:cstheme="minorHAnsi"/>
                <w:b/>
                <w:sz w:val="24"/>
                <w:szCs w:val="24"/>
              </w:rPr>
              <w:fldChar w:fldCharType="end"/>
            </w:r>
            <w:r w:rsidRPr="008A44C5">
              <w:rPr>
                <w:rFonts w:cstheme="minorHAnsi"/>
                <w:b/>
                <w:sz w:val="24"/>
                <w:szCs w:val="24"/>
              </w:rPr>
              <w:t xml:space="preserve"> </w:t>
            </w:r>
            <w:r w:rsidRPr="008A44C5">
              <w:rPr>
                <w:rFonts w:cstheme="minorHAnsi"/>
                <w:i/>
                <w:sz w:val="24"/>
                <w:szCs w:val="24"/>
              </w:rPr>
              <w:t>Patients with liver disease</w:t>
            </w:r>
          </w:p>
        </w:tc>
        <w:tc>
          <w:tcPr>
            <w:tcW w:w="2087" w:type="dxa"/>
            <w:tcBorders>
              <w:top w:val="nil"/>
              <w:bottom w:val="nil"/>
            </w:tcBorders>
          </w:tcPr>
          <w:p w14:paraId="7DEA936B" w14:textId="77777777" w:rsidR="008A44C5" w:rsidRPr="008A44C5" w:rsidRDefault="008A44C5" w:rsidP="008A44C5">
            <w:pPr>
              <w:rPr>
                <w:rFonts w:cs="Arial"/>
                <w:sz w:val="21"/>
                <w:szCs w:val="21"/>
              </w:rPr>
            </w:pPr>
          </w:p>
        </w:tc>
      </w:tr>
      <w:tr w:rsidR="008A44C5" w:rsidRPr="008A44C5" w14:paraId="5E60F384" w14:textId="77777777" w:rsidTr="00F2187C">
        <w:tc>
          <w:tcPr>
            <w:tcW w:w="289" w:type="dxa"/>
            <w:vMerge/>
          </w:tcPr>
          <w:p w14:paraId="7BA6863B" w14:textId="77777777" w:rsidR="008A44C5" w:rsidRPr="008A44C5" w:rsidRDefault="008A44C5" w:rsidP="008A44C5">
            <w:pPr>
              <w:ind w:left="720"/>
              <w:rPr>
                <w:b/>
                <w:sz w:val="18"/>
                <w:szCs w:val="16"/>
              </w:rPr>
            </w:pPr>
          </w:p>
        </w:tc>
        <w:tc>
          <w:tcPr>
            <w:tcW w:w="8080" w:type="dxa"/>
            <w:tcBorders>
              <w:top w:val="nil"/>
              <w:bottom w:val="nil"/>
            </w:tcBorders>
          </w:tcPr>
          <w:p w14:paraId="3E788244" w14:textId="77777777" w:rsidR="008A44C5" w:rsidRPr="008A44C5" w:rsidRDefault="008A44C5" w:rsidP="008A44C5">
            <w:pPr>
              <w:numPr>
                <w:ilvl w:val="1"/>
                <w:numId w:val="4"/>
              </w:numPr>
              <w:spacing w:line="259" w:lineRule="auto"/>
              <w:contextualSpacing/>
              <w:rPr>
                <w:rFonts w:cstheme="minorHAnsi"/>
                <w:i/>
                <w:sz w:val="24"/>
                <w:szCs w:val="24"/>
              </w:rPr>
            </w:pPr>
            <w:r w:rsidRPr="008A44C5">
              <w:rPr>
                <w:rFonts w:cstheme="minorHAnsi"/>
                <w:b/>
                <w:sz w:val="24"/>
                <w:szCs w:val="24"/>
              </w:rPr>
              <w:fldChar w:fldCharType="begin">
                <w:ffData>
                  <w:name w:val=""/>
                  <w:enabled/>
                  <w:calcOnExit w:val="0"/>
                  <w:checkBox>
                    <w:sizeAuto/>
                    <w:default w:val="0"/>
                  </w:checkBox>
                </w:ffData>
              </w:fldChar>
            </w:r>
            <w:r w:rsidRPr="008A44C5">
              <w:rPr>
                <w:rFonts w:cstheme="minorHAnsi"/>
                <w:b/>
                <w:sz w:val="24"/>
                <w:szCs w:val="24"/>
              </w:rPr>
              <w:instrText xml:space="preserve"> FORMCHECKBOX </w:instrText>
            </w:r>
            <w:r w:rsidR="00EB2A09">
              <w:rPr>
                <w:rFonts w:cstheme="minorHAnsi"/>
                <w:b/>
                <w:sz w:val="24"/>
                <w:szCs w:val="24"/>
              </w:rPr>
            </w:r>
            <w:r w:rsidR="00EB2A09">
              <w:rPr>
                <w:rFonts w:cstheme="minorHAnsi"/>
                <w:b/>
                <w:sz w:val="24"/>
                <w:szCs w:val="24"/>
              </w:rPr>
              <w:fldChar w:fldCharType="separate"/>
            </w:r>
            <w:r w:rsidRPr="008A44C5">
              <w:rPr>
                <w:rFonts w:cstheme="minorHAnsi"/>
                <w:b/>
                <w:sz w:val="24"/>
                <w:szCs w:val="24"/>
              </w:rPr>
              <w:fldChar w:fldCharType="end"/>
            </w:r>
            <w:r w:rsidRPr="008A44C5">
              <w:rPr>
                <w:rFonts w:cstheme="minorHAnsi"/>
                <w:b/>
                <w:sz w:val="24"/>
                <w:szCs w:val="24"/>
              </w:rPr>
              <w:t xml:space="preserve"> </w:t>
            </w:r>
            <w:r w:rsidRPr="008A44C5">
              <w:rPr>
                <w:rFonts w:cstheme="minorHAnsi"/>
                <w:i/>
                <w:sz w:val="24"/>
                <w:szCs w:val="24"/>
              </w:rPr>
              <w:t>Patients with immune-mediated inflammatory disorders (IMID)</w:t>
            </w:r>
          </w:p>
        </w:tc>
        <w:tc>
          <w:tcPr>
            <w:tcW w:w="2087" w:type="dxa"/>
            <w:tcBorders>
              <w:top w:val="nil"/>
              <w:bottom w:val="nil"/>
            </w:tcBorders>
          </w:tcPr>
          <w:p w14:paraId="302A35DC" w14:textId="77777777" w:rsidR="008A44C5" w:rsidRPr="008A44C5" w:rsidRDefault="008A44C5" w:rsidP="008A44C5">
            <w:pPr>
              <w:rPr>
                <w:rFonts w:cs="Arial"/>
                <w:sz w:val="21"/>
                <w:szCs w:val="21"/>
              </w:rPr>
            </w:pPr>
          </w:p>
        </w:tc>
      </w:tr>
      <w:tr w:rsidR="008A44C5" w:rsidRPr="008A44C5" w14:paraId="72024406" w14:textId="77777777" w:rsidTr="00F2187C">
        <w:tc>
          <w:tcPr>
            <w:tcW w:w="289" w:type="dxa"/>
            <w:vMerge/>
            <w:shd w:val="clear" w:color="auto" w:fill="A6A6A6" w:themeFill="background1" w:themeFillShade="A6"/>
          </w:tcPr>
          <w:p w14:paraId="486AEA71" w14:textId="77777777" w:rsidR="008A44C5" w:rsidRPr="008A44C5" w:rsidRDefault="008A44C5" w:rsidP="008A44C5">
            <w:pPr>
              <w:ind w:left="720"/>
              <w:rPr>
                <w:b/>
                <w:sz w:val="18"/>
                <w:szCs w:val="16"/>
              </w:rPr>
            </w:pPr>
          </w:p>
        </w:tc>
        <w:tc>
          <w:tcPr>
            <w:tcW w:w="8080" w:type="dxa"/>
            <w:tcBorders>
              <w:top w:val="nil"/>
              <w:bottom w:val="nil"/>
            </w:tcBorders>
          </w:tcPr>
          <w:p w14:paraId="48B0C293" w14:textId="77777777" w:rsidR="008A44C5" w:rsidRPr="008A44C5" w:rsidRDefault="008A44C5" w:rsidP="008A44C5">
            <w:pPr>
              <w:numPr>
                <w:ilvl w:val="1"/>
                <w:numId w:val="4"/>
              </w:numPr>
              <w:spacing w:line="259" w:lineRule="auto"/>
              <w:contextualSpacing/>
              <w:rPr>
                <w:rFonts w:cstheme="minorHAnsi"/>
                <w:sz w:val="24"/>
                <w:szCs w:val="24"/>
              </w:rPr>
            </w:pPr>
            <w:r w:rsidRPr="008A44C5">
              <w:rPr>
                <w:rFonts w:cstheme="minorHAnsi"/>
                <w:b/>
                <w:sz w:val="24"/>
                <w:szCs w:val="24"/>
              </w:rPr>
              <w:fldChar w:fldCharType="begin">
                <w:ffData>
                  <w:name w:val=""/>
                  <w:enabled/>
                  <w:calcOnExit w:val="0"/>
                  <w:checkBox>
                    <w:sizeAuto/>
                    <w:default w:val="0"/>
                  </w:checkBox>
                </w:ffData>
              </w:fldChar>
            </w:r>
            <w:r w:rsidRPr="008A44C5">
              <w:rPr>
                <w:rFonts w:cstheme="minorHAnsi"/>
                <w:b/>
                <w:sz w:val="24"/>
                <w:szCs w:val="24"/>
              </w:rPr>
              <w:instrText xml:space="preserve"> FORMCHECKBOX </w:instrText>
            </w:r>
            <w:r w:rsidR="00EB2A09">
              <w:rPr>
                <w:rFonts w:cstheme="minorHAnsi"/>
                <w:b/>
                <w:sz w:val="24"/>
                <w:szCs w:val="24"/>
              </w:rPr>
            </w:r>
            <w:r w:rsidR="00EB2A09">
              <w:rPr>
                <w:rFonts w:cstheme="minorHAnsi"/>
                <w:b/>
                <w:sz w:val="24"/>
                <w:szCs w:val="24"/>
              </w:rPr>
              <w:fldChar w:fldCharType="separate"/>
            </w:r>
            <w:r w:rsidRPr="008A44C5">
              <w:rPr>
                <w:rFonts w:cstheme="minorHAnsi"/>
                <w:b/>
                <w:sz w:val="24"/>
                <w:szCs w:val="24"/>
              </w:rPr>
              <w:fldChar w:fldCharType="end"/>
            </w:r>
            <w:r w:rsidRPr="008A44C5">
              <w:rPr>
                <w:rFonts w:cstheme="minorHAnsi"/>
                <w:b/>
                <w:sz w:val="24"/>
                <w:szCs w:val="24"/>
              </w:rPr>
              <w:t xml:space="preserve"> </w:t>
            </w:r>
            <w:r w:rsidRPr="008A44C5">
              <w:rPr>
                <w:rFonts w:cstheme="minorHAnsi"/>
                <w:i/>
                <w:sz w:val="24"/>
                <w:szCs w:val="24"/>
              </w:rPr>
              <w:t>Patients with primary immune deficiencies</w:t>
            </w:r>
          </w:p>
        </w:tc>
        <w:tc>
          <w:tcPr>
            <w:tcW w:w="2087" w:type="dxa"/>
            <w:tcBorders>
              <w:top w:val="nil"/>
              <w:bottom w:val="nil"/>
            </w:tcBorders>
          </w:tcPr>
          <w:p w14:paraId="40254CDB" w14:textId="77777777" w:rsidR="008A44C5" w:rsidRPr="008A44C5" w:rsidRDefault="008A44C5" w:rsidP="008A44C5">
            <w:pPr>
              <w:rPr>
                <w:rFonts w:cs="Arial"/>
                <w:sz w:val="21"/>
                <w:szCs w:val="21"/>
              </w:rPr>
            </w:pPr>
          </w:p>
        </w:tc>
      </w:tr>
      <w:tr w:rsidR="008A44C5" w:rsidRPr="008A44C5" w14:paraId="12AB3143" w14:textId="77777777" w:rsidTr="00F2187C">
        <w:tc>
          <w:tcPr>
            <w:tcW w:w="289" w:type="dxa"/>
            <w:vMerge/>
          </w:tcPr>
          <w:p w14:paraId="5BF88B8B" w14:textId="77777777" w:rsidR="008A44C5" w:rsidRPr="008A44C5" w:rsidRDefault="008A44C5" w:rsidP="008A44C5">
            <w:pPr>
              <w:ind w:left="720"/>
              <w:rPr>
                <w:b/>
                <w:sz w:val="18"/>
                <w:szCs w:val="16"/>
              </w:rPr>
            </w:pPr>
          </w:p>
        </w:tc>
        <w:tc>
          <w:tcPr>
            <w:tcW w:w="8080" w:type="dxa"/>
            <w:tcBorders>
              <w:top w:val="nil"/>
              <w:bottom w:val="nil"/>
            </w:tcBorders>
          </w:tcPr>
          <w:p w14:paraId="690E4CF4" w14:textId="77777777" w:rsidR="008A44C5" w:rsidRPr="008A44C5" w:rsidRDefault="008A44C5" w:rsidP="008A44C5">
            <w:pPr>
              <w:numPr>
                <w:ilvl w:val="1"/>
                <w:numId w:val="4"/>
              </w:numPr>
              <w:spacing w:line="259" w:lineRule="auto"/>
              <w:contextualSpacing/>
              <w:rPr>
                <w:rFonts w:cstheme="minorHAnsi"/>
                <w:sz w:val="24"/>
                <w:szCs w:val="24"/>
              </w:rPr>
            </w:pPr>
            <w:r w:rsidRPr="008A44C5">
              <w:rPr>
                <w:rFonts w:cstheme="minorHAnsi"/>
                <w:b/>
                <w:sz w:val="24"/>
                <w:szCs w:val="24"/>
              </w:rPr>
              <w:fldChar w:fldCharType="begin">
                <w:ffData>
                  <w:name w:val=""/>
                  <w:enabled/>
                  <w:calcOnExit w:val="0"/>
                  <w:checkBox>
                    <w:sizeAuto/>
                    <w:default w:val="0"/>
                  </w:checkBox>
                </w:ffData>
              </w:fldChar>
            </w:r>
            <w:r w:rsidRPr="008A44C5">
              <w:rPr>
                <w:rFonts w:cstheme="minorHAnsi"/>
                <w:b/>
                <w:sz w:val="24"/>
                <w:szCs w:val="24"/>
              </w:rPr>
              <w:instrText xml:space="preserve"> FORMCHECKBOX </w:instrText>
            </w:r>
            <w:r w:rsidR="00EB2A09">
              <w:rPr>
                <w:rFonts w:cstheme="minorHAnsi"/>
                <w:b/>
                <w:sz w:val="24"/>
                <w:szCs w:val="24"/>
              </w:rPr>
            </w:r>
            <w:r w:rsidR="00EB2A09">
              <w:rPr>
                <w:rFonts w:cstheme="minorHAnsi"/>
                <w:b/>
                <w:sz w:val="24"/>
                <w:szCs w:val="24"/>
              </w:rPr>
              <w:fldChar w:fldCharType="separate"/>
            </w:r>
            <w:r w:rsidRPr="008A44C5">
              <w:rPr>
                <w:rFonts w:cstheme="minorHAnsi"/>
                <w:b/>
                <w:sz w:val="24"/>
                <w:szCs w:val="24"/>
              </w:rPr>
              <w:fldChar w:fldCharType="end"/>
            </w:r>
            <w:r w:rsidRPr="008A44C5">
              <w:rPr>
                <w:rFonts w:cstheme="minorHAnsi"/>
                <w:b/>
                <w:sz w:val="24"/>
                <w:szCs w:val="24"/>
              </w:rPr>
              <w:t xml:space="preserve"> </w:t>
            </w:r>
            <w:r w:rsidRPr="008A44C5">
              <w:rPr>
                <w:rFonts w:cstheme="minorHAnsi"/>
                <w:i/>
                <w:sz w:val="24"/>
                <w:szCs w:val="24"/>
              </w:rPr>
              <w:t>Patients with HIV or AIDS</w:t>
            </w:r>
          </w:p>
        </w:tc>
        <w:tc>
          <w:tcPr>
            <w:tcW w:w="2087" w:type="dxa"/>
            <w:tcBorders>
              <w:top w:val="nil"/>
              <w:bottom w:val="nil"/>
            </w:tcBorders>
          </w:tcPr>
          <w:p w14:paraId="64AB1756" w14:textId="77777777" w:rsidR="008A44C5" w:rsidRPr="008A44C5" w:rsidRDefault="008A44C5" w:rsidP="008A44C5">
            <w:pPr>
              <w:rPr>
                <w:rFonts w:cs="Arial"/>
                <w:sz w:val="21"/>
                <w:szCs w:val="21"/>
              </w:rPr>
            </w:pPr>
          </w:p>
        </w:tc>
      </w:tr>
      <w:tr w:rsidR="008A44C5" w:rsidRPr="008A44C5" w14:paraId="6CEE16D3" w14:textId="77777777" w:rsidTr="00F2187C">
        <w:tc>
          <w:tcPr>
            <w:tcW w:w="289" w:type="dxa"/>
            <w:vMerge/>
          </w:tcPr>
          <w:p w14:paraId="4C8D83D9" w14:textId="77777777" w:rsidR="008A44C5" w:rsidRPr="008A44C5" w:rsidRDefault="008A44C5" w:rsidP="008A44C5">
            <w:pPr>
              <w:ind w:left="720"/>
              <w:rPr>
                <w:b/>
                <w:sz w:val="18"/>
                <w:szCs w:val="16"/>
              </w:rPr>
            </w:pPr>
          </w:p>
        </w:tc>
        <w:tc>
          <w:tcPr>
            <w:tcW w:w="8080" w:type="dxa"/>
            <w:tcBorders>
              <w:top w:val="nil"/>
              <w:bottom w:val="nil"/>
            </w:tcBorders>
          </w:tcPr>
          <w:p w14:paraId="6C07F19F" w14:textId="77777777" w:rsidR="008A44C5" w:rsidRPr="008A44C5" w:rsidRDefault="008A44C5" w:rsidP="008A44C5">
            <w:pPr>
              <w:numPr>
                <w:ilvl w:val="1"/>
                <w:numId w:val="4"/>
              </w:numPr>
              <w:spacing w:line="259" w:lineRule="auto"/>
              <w:contextualSpacing/>
              <w:rPr>
                <w:rFonts w:cstheme="minorHAnsi"/>
                <w:sz w:val="24"/>
                <w:szCs w:val="24"/>
              </w:rPr>
            </w:pPr>
            <w:r w:rsidRPr="008A44C5">
              <w:rPr>
                <w:rFonts w:cstheme="minorHAnsi"/>
                <w:b/>
                <w:sz w:val="24"/>
                <w:szCs w:val="24"/>
              </w:rPr>
              <w:fldChar w:fldCharType="begin">
                <w:ffData>
                  <w:name w:val=""/>
                  <w:enabled/>
                  <w:calcOnExit w:val="0"/>
                  <w:checkBox>
                    <w:sizeAuto/>
                    <w:default w:val="0"/>
                  </w:checkBox>
                </w:ffData>
              </w:fldChar>
            </w:r>
            <w:r w:rsidRPr="008A44C5">
              <w:rPr>
                <w:rFonts w:cstheme="minorHAnsi"/>
                <w:b/>
                <w:sz w:val="24"/>
                <w:szCs w:val="24"/>
              </w:rPr>
              <w:instrText xml:space="preserve"> FORMCHECKBOX </w:instrText>
            </w:r>
            <w:r w:rsidR="00EB2A09">
              <w:rPr>
                <w:rFonts w:cstheme="minorHAnsi"/>
                <w:b/>
                <w:sz w:val="24"/>
                <w:szCs w:val="24"/>
              </w:rPr>
            </w:r>
            <w:r w:rsidR="00EB2A09">
              <w:rPr>
                <w:rFonts w:cstheme="minorHAnsi"/>
                <w:b/>
                <w:sz w:val="24"/>
                <w:szCs w:val="24"/>
              </w:rPr>
              <w:fldChar w:fldCharType="separate"/>
            </w:r>
            <w:r w:rsidRPr="008A44C5">
              <w:rPr>
                <w:rFonts w:cstheme="minorHAnsi"/>
                <w:b/>
                <w:sz w:val="24"/>
                <w:szCs w:val="24"/>
              </w:rPr>
              <w:fldChar w:fldCharType="end"/>
            </w:r>
            <w:r w:rsidRPr="008A44C5">
              <w:rPr>
                <w:rFonts w:cstheme="minorHAnsi"/>
                <w:b/>
                <w:sz w:val="24"/>
                <w:szCs w:val="24"/>
              </w:rPr>
              <w:t xml:space="preserve"> </w:t>
            </w:r>
            <w:r w:rsidRPr="008A44C5">
              <w:rPr>
                <w:rFonts w:cstheme="minorHAnsi"/>
                <w:i/>
                <w:sz w:val="24"/>
                <w:szCs w:val="24"/>
              </w:rPr>
              <w:t>Solid organ transplant recipients</w:t>
            </w:r>
          </w:p>
        </w:tc>
        <w:tc>
          <w:tcPr>
            <w:tcW w:w="2087" w:type="dxa"/>
            <w:tcBorders>
              <w:top w:val="nil"/>
              <w:bottom w:val="nil"/>
            </w:tcBorders>
          </w:tcPr>
          <w:p w14:paraId="07CD6025" w14:textId="77777777" w:rsidR="008A44C5" w:rsidRPr="008A44C5" w:rsidRDefault="008A44C5" w:rsidP="008A44C5">
            <w:pPr>
              <w:rPr>
                <w:rFonts w:cs="Arial"/>
                <w:sz w:val="21"/>
                <w:szCs w:val="21"/>
              </w:rPr>
            </w:pPr>
          </w:p>
        </w:tc>
      </w:tr>
      <w:tr w:rsidR="008A44C5" w:rsidRPr="008A44C5" w14:paraId="48BE117C" w14:textId="77777777" w:rsidTr="00F2187C">
        <w:tc>
          <w:tcPr>
            <w:tcW w:w="289" w:type="dxa"/>
            <w:vMerge/>
          </w:tcPr>
          <w:p w14:paraId="04EE7D04" w14:textId="77777777" w:rsidR="008A44C5" w:rsidRPr="008A44C5" w:rsidRDefault="008A44C5" w:rsidP="008A44C5">
            <w:pPr>
              <w:rPr>
                <w:rFonts w:cs="Arial"/>
                <w:sz w:val="21"/>
                <w:szCs w:val="21"/>
              </w:rPr>
            </w:pPr>
          </w:p>
        </w:tc>
        <w:tc>
          <w:tcPr>
            <w:tcW w:w="8080" w:type="dxa"/>
            <w:tcBorders>
              <w:top w:val="nil"/>
              <w:bottom w:val="nil"/>
            </w:tcBorders>
          </w:tcPr>
          <w:p w14:paraId="4C3EA658" w14:textId="77777777" w:rsidR="008A44C5" w:rsidRPr="008A44C5" w:rsidRDefault="008A44C5" w:rsidP="008A44C5">
            <w:pPr>
              <w:numPr>
                <w:ilvl w:val="1"/>
                <w:numId w:val="4"/>
              </w:numPr>
              <w:spacing w:line="259" w:lineRule="auto"/>
              <w:contextualSpacing/>
              <w:rPr>
                <w:rFonts w:cstheme="minorHAnsi"/>
                <w:sz w:val="24"/>
                <w:szCs w:val="24"/>
              </w:rPr>
            </w:pPr>
            <w:r w:rsidRPr="008A44C5">
              <w:rPr>
                <w:rFonts w:cstheme="minorHAnsi"/>
                <w:b/>
                <w:sz w:val="24"/>
                <w:szCs w:val="24"/>
              </w:rPr>
              <w:fldChar w:fldCharType="begin">
                <w:ffData>
                  <w:name w:val=""/>
                  <w:enabled/>
                  <w:calcOnExit w:val="0"/>
                  <w:checkBox>
                    <w:sizeAuto/>
                    <w:default w:val="0"/>
                  </w:checkBox>
                </w:ffData>
              </w:fldChar>
            </w:r>
            <w:r w:rsidRPr="008A44C5">
              <w:rPr>
                <w:rFonts w:cstheme="minorHAnsi"/>
                <w:b/>
                <w:sz w:val="24"/>
                <w:szCs w:val="24"/>
              </w:rPr>
              <w:instrText xml:space="preserve"> FORMCHECKBOX </w:instrText>
            </w:r>
            <w:r w:rsidR="00EB2A09">
              <w:rPr>
                <w:rFonts w:cstheme="minorHAnsi"/>
                <w:b/>
                <w:sz w:val="24"/>
                <w:szCs w:val="24"/>
              </w:rPr>
            </w:r>
            <w:r w:rsidR="00EB2A09">
              <w:rPr>
                <w:rFonts w:cstheme="minorHAnsi"/>
                <w:b/>
                <w:sz w:val="24"/>
                <w:szCs w:val="24"/>
              </w:rPr>
              <w:fldChar w:fldCharType="separate"/>
            </w:r>
            <w:r w:rsidRPr="008A44C5">
              <w:rPr>
                <w:rFonts w:cstheme="minorHAnsi"/>
                <w:b/>
                <w:sz w:val="24"/>
                <w:szCs w:val="24"/>
              </w:rPr>
              <w:fldChar w:fldCharType="end"/>
            </w:r>
            <w:r w:rsidRPr="008A44C5">
              <w:rPr>
                <w:rFonts w:cstheme="minorHAnsi"/>
                <w:b/>
                <w:sz w:val="24"/>
                <w:szCs w:val="24"/>
              </w:rPr>
              <w:t xml:space="preserve"> </w:t>
            </w:r>
            <w:r w:rsidRPr="008A44C5">
              <w:rPr>
                <w:rFonts w:cstheme="minorHAnsi"/>
                <w:i/>
                <w:sz w:val="24"/>
                <w:szCs w:val="24"/>
              </w:rPr>
              <w:t>Patients with rare neurological condition (Multiple sclerosis, Huntington’s chorea, Motor neurone disease or Myasthenia gravis)</w:t>
            </w:r>
          </w:p>
        </w:tc>
        <w:tc>
          <w:tcPr>
            <w:tcW w:w="2087" w:type="dxa"/>
            <w:tcBorders>
              <w:top w:val="nil"/>
              <w:bottom w:val="nil"/>
            </w:tcBorders>
          </w:tcPr>
          <w:p w14:paraId="1A805809" w14:textId="77777777" w:rsidR="008A44C5" w:rsidRPr="008A44C5" w:rsidRDefault="008A44C5" w:rsidP="008A44C5">
            <w:pPr>
              <w:rPr>
                <w:rFonts w:cs="Arial"/>
                <w:sz w:val="21"/>
                <w:szCs w:val="21"/>
              </w:rPr>
            </w:pPr>
          </w:p>
        </w:tc>
      </w:tr>
      <w:tr w:rsidR="008A44C5" w:rsidRPr="008A44C5" w14:paraId="0D7D0BED" w14:textId="77777777" w:rsidTr="00F2187C">
        <w:tc>
          <w:tcPr>
            <w:tcW w:w="289" w:type="dxa"/>
            <w:vMerge/>
          </w:tcPr>
          <w:p w14:paraId="3EB18F13" w14:textId="77777777" w:rsidR="008A44C5" w:rsidRPr="008A44C5" w:rsidRDefault="008A44C5" w:rsidP="008A44C5">
            <w:pPr>
              <w:rPr>
                <w:rFonts w:cs="Arial"/>
                <w:i/>
                <w:sz w:val="18"/>
                <w:szCs w:val="20"/>
              </w:rPr>
            </w:pPr>
          </w:p>
        </w:tc>
        <w:tc>
          <w:tcPr>
            <w:tcW w:w="8080" w:type="dxa"/>
            <w:tcBorders>
              <w:top w:val="nil"/>
            </w:tcBorders>
          </w:tcPr>
          <w:p w14:paraId="3CCA9B40" w14:textId="03453FFE" w:rsidR="008A44C5" w:rsidRPr="008A44C5" w:rsidRDefault="008A44C5" w:rsidP="008A44C5">
            <w:pPr>
              <w:numPr>
                <w:ilvl w:val="0"/>
                <w:numId w:val="4"/>
              </w:numPr>
              <w:contextualSpacing/>
              <w:rPr>
                <w:rFonts w:cstheme="minorHAnsi"/>
                <w:i/>
                <w:sz w:val="24"/>
                <w:szCs w:val="24"/>
              </w:rPr>
            </w:pPr>
            <w:r w:rsidRPr="008A44C5">
              <w:rPr>
                <w:rFonts w:cstheme="minorHAnsi"/>
                <w:i/>
                <w:sz w:val="24"/>
                <w:szCs w:val="24"/>
              </w:rPr>
              <w:t>Patients under the care of specialist teams (</w:t>
            </w:r>
            <w:r w:rsidR="00660156" w:rsidRPr="008A44C5">
              <w:rPr>
                <w:rFonts w:cstheme="minorHAnsi"/>
                <w:i/>
                <w:sz w:val="24"/>
                <w:szCs w:val="24"/>
              </w:rPr>
              <w:t>e.g.,</w:t>
            </w:r>
            <w:r w:rsidRPr="008A44C5">
              <w:rPr>
                <w:rFonts w:cstheme="minorHAnsi"/>
                <w:i/>
                <w:sz w:val="24"/>
                <w:szCs w:val="24"/>
              </w:rPr>
              <w:t xml:space="preserve"> cancer services and those on immunosuppressive treatment) may require further discussion with their consultant to determine suitability for treatment. </w:t>
            </w:r>
          </w:p>
          <w:p w14:paraId="7739B876" w14:textId="77777777" w:rsidR="008A44C5" w:rsidRPr="008A44C5" w:rsidRDefault="008A44C5" w:rsidP="008A44C5">
            <w:pPr>
              <w:numPr>
                <w:ilvl w:val="0"/>
                <w:numId w:val="4"/>
              </w:numPr>
              <w:contextualSpacing/>
              <w:rPr>
                <w:rFonts w:cstheme="minorHAnsi"/>
                <w:sz w:val="24"/>
                <w:szCs w:val="24"/>
              </w:rPr>
            </w:pPr>
            <w:r w:rsidRPr="008A44C5">
              <w:rPr>
                <w:rFonts w:cstheme="minorHAnsi"/>
                <w:i/>
                <w:sz w:val="24"/>
                <w:szCs w:val="24"/>
              </w:rPr>
              <w:t>Paediatric patients (aged 12-17 years and weigh 40kg+): paediatric MDT assessment may be necessary to determine clinical capacity to benefit from the treatment.</w:t>
            </w:r>
          </w:p>
          <w:p w14:paraId="0139733E" w14:textId="77777777" w:rsidR="008A44C5" w:rsidRDefault="008A44C5" w:rsidP="008A44C5">
            <w:pPr>
              <w:contextualSpacing/>
              <w:rPr>
                <w:rFonts w:cstheme="minorHAnsi"/>
                <w:i/>
                <w:sz w:val="24"/>
                <w:szCs w:val="24"/>
              </w:rPr>
            </w:pPr>
          </w:p>
          <w:p w14:paraId="43B2CDCD" w14:textId="4A89B768" w:rsidR="008A44C5" w:rsidRPr="008A44C5" w:rsidRDefault="008A44C5" w:rsidP="008A44C5">
            <w:pPr>
              <w:contextualSpacing/>
              <w:rPr>
                <w:rFonts w:cstheme="minorHAnsi"/>
                <w:sz w:val="24"/>
                <w:szCs w:val="24"/>
              </w:rPr>
            </w:pPr>
          </w:p>
        </w:tc>
        <w:tc>
          <w:tcPr>
            <w:tcW w:w="2087" w:type="dxa"/>
            <w:tcBorders>
              <w:top w:val="nil"/>
            </w:tcBorders>
          </w:tcPr>
          <w:p w14:paraId="3D8E0C5C" w14:textId="77777777" w:rsidR="008A44C5" w:rsidRPr="008A44C5" w:rsidRDefault="008A44C5" w:rsidP="008A44C5">
            <w:pPr>
              <w:rPr>
                <w:rFonts w:cs="Arial"/>
                <w:sz w:val="21"/>
                <w:szCs w:val="21"/>
              </w:rPr>
            </w:pPr>
          </w:p>
        </w:tc>
      </w:tr>
      <w:tr w:rsidR="008A44C5" w:rsidRPr="008A44C5" w14:paraId="76A4822C" w14:textId="77777777" w:rsidTr="00F2187C">
        <w:tc>
          <w:tcPr>
            <w:tcW w:w="289" w:type="dxa"/>
            <w:shd w:val="clear" w:color="auto" w:fill="A6A6A6" w:themeFill="background1" w:themeFillShade="A6"/>
          </w:tcPr>
          <w:p w14:paraId="113F4929" w14:textId="77777777" w:rsidR="008A44C5" w:rsidRPr="008A44C5" w:rsidRDefault="008A44C5" w:rsidP="008A44C5">
            <w:pPr>
              <w:rPr>
                <w:rFonts w:cs="Arial"/>
                <w:b/>
                <w:sz w:val="21"/>
                <w:szCs w:val="21"/>
              </w:rPr>
            </w:pPr>
          </w:p>
        </w:tc>
        <w:tc>
          <w:tcPr>
            <w:tcW w:w="10167" w:type="dxa"/>
            <w:gridSpan w:val="2"/>
            <w:shd w:val="clear" w:color="auto" w:fill="A6A6A6" w:themeFill="background1" w:themeFillShade="A6"/>
          </w:tcPr>
          <w:p w14:paraId="18FBFEDC" w14:textId="77777777" w:rsidR="008A44C5" w:rsidRDefault="008A44C5" w:rsidP="008A44C5">
            <w:pPr>
              <w:rPr>
                <w:rFonts w:cstheme="minorHAnsi"/>
                <w:b/>
                <w:sz w:val="24"/>
                <w:szCs w:val="24"/>
              </w:rPr>
            </w:pPr>
            <w:r w:rsidRPr="008A44C5">
              <w:rPr>
                <w:rFonts w:cstheme="minorHAnsi"/>
                <w:b/>
                <w:sz w:val="24"/>
                <w:szCs w:val="24"/>
              </w:rPr>
              <w:t>If the patient does not meet the above eligibility criteria on virtual review, STOP here.</w:t>
            </w:r>
          </w:p>
          <w:p w14:paraId="43E65700" w14:textId="0406EE98" w:rsidR="008A44C5" w:rsidRPr="008A44C5" w:rsidRDefault="008A44C5" w:rsidP="008A44C5">
            <w:pPr>
              <w:rPr>
                <w:rFonts w:cstheme="minorHAnsi"/>
                <w:b/>
                <w:sz w:val="24"/>
                <w:szCs w:val="24"/>
              </w:rPr>
            </w:pPr>
          </w:p>
        </w:tc>
      </w:tr>
      <w:tr w:rsidR="008A44C5" w:rsidRPr="008A44C5" w14:paraId="71CFF30E" w14:textId="77777777" w:rsidTr="00F2187C">
        <w:tc>
          <w:tcPr>
            <w:tcW w:w="289" w:type="dxa"/>
          </w:tcPr>
          <w:p w14:paraId="2022D6C2" w14:textId="77777777" w:rsidR="008A44C5" w:rsidRPr="008A44C5" w:rsidRDefault="008A44C5" w:rsidP="008A44C5">
            <w:pPr>
              <w:rPr>
                <w:rFonts w:eastAsia="Arial" w:cs="Arial"/>
                <w:sz w:val="21"/>
                <w:szCs w:val="21"/>
              </w:rPr>
            </w:pPr>
          </w:p>
        </w:tc>
        <w:tc>
          <w:tcPr>
            <w:tcW w:w="8080" w:type="dxa"/>
          </w:tcPr>
          <w:p w14:paraId="7395A538" w14:textId="77777777" w:rsidR="008A44C5" w:rsidRPr="008A44C5" w:rsidRDefault="008A44C5" w:rsidP="008A44C5">
            <w:pPr>
              <w:rPr>
                <w:rFonts w:eastAsiaTheme="minorEastAsia" w:cstheme="minorHAnsi"/>
                <w:sz w:val="24"/>
                <w:szCs w:val="24"/>
              </w:rPr>
            </w:pPr>
            <w:r w:rsidRPr="008A44C5">
              <w:rPr>
                <w:rFonts w:eastAsia="Arial" w:cstheme="minorHAnsi"/>
                <w:sz w:val="24"/>
                <w:szCs w:val="24"/>
              </w:rPr>
              <w:t>Assessment of severity of symptoms to confirm the patient does not require hospitalisation</w:t>
            </w:r>
          </w:p>
        </w:tc>
        <w:tc>
          <w:tcPr>
            <w:tcW w:w="2087" w:type="dxa"/>
          </w:tcPr>
          <w:p w14:paraId="4EF03FE4" w14:textId="77777777" w:rsidR="008A44C5" w:rsidRPr="008A44C5" w:rsidRDefault="008A44C5" w:rsidP="008A44C5">
            <w:pPr>
              <w:rPr>
                <w:rFonts w:cs="Arial"/>
                <w:sz w:val="21"/>
                <w:szCs w:val="21"/>
              </w:rPr>
            </w:pPr>
            <w:r w:rsidRPr="008A44C5">
              <w:rPr>
                <w:b/>
                <w:sz w:val="18"/>
                <w:szCs w:val="16"/>
              </w:rPr>
              <w:t xml:space="preserve"> </w:t>
            </w:r>
            <w:r w:rsidRPr="008A44C5">
              <w:rPr>
                <w:b/>
                <w:sz w:val="18"/>
                <w:szCs w:val="16"/>
              </w:rPr>
              <w:fldChar w:fldCharType="begin">
                <w:ffData>
                  <w:name w:val=""/>
                  <w:enabled/>
                  <w:calcOnExit w:val="0"/>
                  <w:checkBox>
                    <w:sizeAuto/>
                    <w:default w:val="0"/>
                  </w:checkBox>
                </w:ffData>
              </w:fldChar>
            </w:r>
            <w:r w:rsidRPr="008A44C5">
              <w:rPr>
                <w:b/>
                <w:sz w:val="18"/>
                <w:szCs w:val="16"/>
              </w:rPr>
              <w:instrText xml:space="preserve"> FORMCHECKBOX </w:instrText>
            </w:r>
            <w:r w:rsidR="00EB2A09">
              <w:rPr>
                <w:b/>
                <w:sz w:val="18"/>
                <w:szCs w:val="16"/>
              </w:rPr>
            </w:r>
            <w:r w:rsidR="00EB2A09">
              <w:rPr>
                <w:b/>
                <w:sz w:val="18"/>
                <w:szCs w:val="16"/>
              </w:rPr>
              <w:fldChar w:fldCharType="separate"/>
            </w:r>
            <w:r w:rsidRPr="008A44C5">
              <w:rPr>
                <w:b/>
                <w:sz w:val="18"/>
                <w:szCs w:val="16"/>
              </w:rPr>
              <w:fldChar w:fldCharType="end"/>
            </w:r>
          </w:p>
        </w:tc>
      </w:tr>
      <w:tr w:rsidR="008A44C5" w:rsidRPr="008A44C5" w14:paraId="4D815C7F" w14:textId="77777777" w:rsidTr="00F2187C">
        <w:tc>
          <w:tcPr>
            <w:tcW w:w="289" w:type="dxa"/>
          </w:tcPr>
          <w:p w14:paraId="51AC4922" w14:textId="77777777" w:rsidR="008A44C5" w:rsidRPr="008A44C5" w:rsidRDefault="008A44C5" w:rsidP="008A44C5">
            <w:pPr>
              <w:rPr>
                <w:rFonts w:eastAsia="Arial" w:cs="Arial"/>
                <w:sz w:val="21"/>
                <w:szCs w:val="21"/>
              </w:rPr>
            </w:pPr>
          </w:p>
        </w:tc>
        <w:tc>
          <w:tcPr>
            <w:tcW w:w="8080" w:type="dxa"/>
          </w:tcPr>
          <w:p w14:paraId="597E90AA" w14:textId="77777777" w:rsidR="008A44C5" w:rsidRPr="008A44C5" w:rsidRDefault="008A44C5" w:rsidP="008A44C5">
            <w:pPr>
              <w:rPr>
                <w:rFonts w:eastAsia="Arial" w:cstheme="minorHAnsi"/>
                <w:sz w:val="24"/>
                <w:szCs w:val="24"/>
              </w:rPr>
            </w:pPr>
            <w:r w:rsidRPr="008A44C5">
              <w:rPr>
                <w:rFonts w:eastAsia="Arial" w:cstheme="minorHAnsi"/>
                <w:sz w:val="24"/>
                <w:szCs w:val="24"/>
              </w:rPr>
              <w:t xml:space="preserve">Vaccination status </w:t>
            </w:r>
          </w:p>
          <w:p w14:paraId="6780B880" w14:textId="77777777" w:rsidR="008A44C5" w:rsidRPr="008A44C5" w:rsidRDefault="008A44C5" w:rsidP="008A44C5">
            <w:pPr>
              <w:rPr>
                <w:rFonts w:eastAsia="Arial" w:cstheme="minorHAnsi"/>
                <w:i/>
                <w:sz w:val="24"/>
                <w:szCs w:val="24"/>
              </w:rPr>
            </w:pPr>
            <w:r w:rsidRPr="008A44C5">
              <w:rPr>
                <w:rFonts w:eastAsia="Arial" w:cstheme="minorHAnsi"/>
                <w:i/>
                <w:sz w:val="24"/>
                <w:szCs w:val="24"/>
              </w:rPr>
              <w:t>To assess for risk of disease progression (may assist clinical decision)</w:t>
            </w:r>
          </w:p>
        </w:tc>
        <w:tc>
          <w:tcPr>
            <w:tcW w:w="2087" w:type="dxa"/>
          </w:tcPr>
          <w:p w14:paraId="5032F22C" w14:textId="77777777" w:rsidR="008A44C5" w:rsidRPr="008A44C5" w:rsidRDefault="008A44C5" w:rsidP="008A44C5">
            <w:pPr>
              <w:rPr>
                <w:rFonts w:cs="Arial"/>
                <w:sz w:val="21"/>
                <w:szCs w:val="21"/>
              </w:rPr>
            </w:pPr>
            <w:r w:rsidRPr="008A44C5">
              <w:rPr>
                <w:b/>
                <w:sz w:val="18"/>
                <w:szCs w:val="16"/>
              </w:rPr>
              <w:t xml:space="preserve"> </w:t>
            </w:r>
            <w:r w:rsidRPr="008A44C5">
              <w:rPr>
                <w:rFonts w:ascii="Calibri" w:eastAsia="Times New Roman" w:hAnsi="Calibri" w:cs="Times New Roman"/>
                <w:lang w:eastAsia="en-GB"/>
              </w:rPr>
              <w:fldChar w:fldCharType="begin">
                <w:ffData>
                  <w:name w:val="Text25"/>
                  <w:enabled/>
                  <w:calcOnExit w:val="0"/>
                  <w:textInput/>
                </w:ffData>
              </w:fldChar>
            </w:r>
            <w:r w:rsidRPr="008A44C5">
              <w:rPr>
                <w:rFonts w:ascii="Calibri" w:eastAsia="Times New Roman" w:hAnsi="Calibri" w:cs="Times New Roman"/>
                <w:lang w:eastAsia="en-GB"/>
              </w:rPr>
              <w:instrText xml:space="preserve"> FORMTEXT </w:instrText>
            </w:r>
            <w:r w:rsidRPr="008A44C5">
              <w:rPr>
                <w:rFonts w:ascii="Calibri" w:eastAsia="Times New Roman" w:hAnsi="Calibri" w:cs="Times New Roman"/>
                <w:lang w:eastAsia="en-GB"/>
              </w:rPr>
            </w:r>
            <w:r w:rsidRPr="008A44C5">
              <w:rPr>
                <w:rFonts w:ascii="Calibri" w:eastAsia="Times New Roman" w:hAnsi="Calibri" w:cs="Times New Roman"/>
                <w:lang w:eastAsia="en-GB"/>
              </w:rPr>
              <w:fldChar w:fldCharType="separate"/>
            </w:r>
            <w:r w:rsidRPr="008A44C5">
              <w:rPr>
                <w:rFonts w:ascii="Calibri" w:eastAsia="Times New Roman" w:hAnsi="Calibri" w:cs="Times New Roman"/>
                <w:noProof/>
                <w:lang w:eastAsia="en-GB"/>
              </w:rPr>
              <w:t> </w:t>
            </w:r>
            <w:r w:rsidRPr="008A44C5">
              <w:rPr>
                <w:rFonts w:ascii="Calibri" w:eastAsia="Times New Roman" w:hAnsi="Calibri" w:cs="Times New Roman"/>
                <w:noProof/>
                <w:lang w:eastAsia="en-GB"/>
              </w:rPr>
              <w:t> </w:t>
            </w:r>
            <w:r w:rsidRPr="008A44C5">
              <w:rPr>
                <w:rFonts w:ascii="Calibri" w:eastAsia="Times New Roman" w:hAnsi="Calibri" w:cs="Times New Roman"/>
                <w:noProof/>
                <w:lang w:eastAsia="en-GB"/>
              </w:rPr>
              <w:t> </w:t>
            </w:r>
            <w:r w:rsidRPr="008A44C5">
              <w:rPr>
                <w:rFonts w:ascii="Calibri" w:eastAsia="Times New Roman" w:hAnsi="Calibri" w:cs="Times New Roman"/>
                <w:noProof/>
                <w:lang w:eastAsia="en-GB"/>
              </w:rPr>
              <w:t> </w:t>
            </w:r>
            <w:r w:rsidRPr="008A44C5">
              <w:rPr>
                <w:rFonts w:ascii="Calibri" w:eastAsia="Times New Roman" w:hAnsi="Calibri" w:cs="Times New Roman"/>
                <w:noProof/>
                <w:lang w:eastAsia="en-GB"/>
              </w:rPr>
              <w:t> </w:t>
            </w:r>
            <w:r w:rsidRPr="008A44C5">
              <w:rPr>
                <w:rFonts w:ascii="Calibri" w:eastAsia="Times New Roman" w:hAnsi="Calibri" w:cs="Times New Roman"/>
                <w:lang w:eastAsia="en-GB"/>
              </w:rPr>
              <w:fldChar w:fldCharType="end"/>
            </w:r>
          </w:p>
        </w:tc>
      </w:tr>
      <w:tr w:rsidR="008A44C5" w:rsidRPr="008A44C5" w14:paraId="021C194A" w14:textId="77777777" w:rsidTr="00F2187C">
        <w:tc>
          <w:tcPr>
            <w:tcW w:w="289" w:type="dxa"/>
          </w:tcPr>
          <w:p w14:paraId="76C65E28" w14:textId="77777777" w:rsidR="008A44C5" w:rsidRPr="008A44C5" w:rsidRDefault="008A44C5" w:rsidP="008A44C5">
            <w:pPr>
              <w:rPr>
                <w:rFonts w:eastAsia="Arial" w:cs="Arial"/>
                <w:sz w:val="21"/>
                <w:szCs w:val="21"/>
              </w:rPr>
            </w:pPr>
          </w:p>
        </w:tc>
        <w:tc>
          <w:tcPr>
            <w:tcW w:w="8080" w:type="dxa"/>
          </w:tcPr>
          <w:p w14:paraId="3317258F" w14:textId="77777777" w:rsidR="008A44C5" w:rsidRPr="008A44C5" w:rsidRDefault="008A44C5" w:rsidP="008A44C5">
            <w:pPr>
              <w:rPr>
                <w:rFonts w:eastAsia="Arial" w:cstheme="minorHAnsi"/>
                <w:sz w:val="24"/>
                <w:szCs w:val="24"/>
              </w:rPr>
            </w:pPr>
            <w:r w:rsidRPr="008A44C5">
              <w:rPr>
                <w:rFonts w:eastAsia="Arial" w:cstheme="minorHAnsi"/>
                <w:sz w:val="24"/>
                <w:szCs w:val="24"/>
              </w:rPr>
              <w:t>Allergy history, including any previous history of anaphylaxis</w:t>
            </w:r>
          </w:p>
          <w:p w14:paraId="1A08B0B3" w14:textId="77777777" w:rsidR="008A44C5" w:rsidRPr="008A44C5" w:rsidRDefault="008A44C5" w:rsidP="008A44C5">
            <w:pPr>
              <w:rPr>
                <w:rFonts w:eastAsiaTheme="minorEastAsia" w:cstheme="minorHAnsi"/>
                <w:i/>
                <w:sz w:val="24"/>
                <w:szCs w:val="24"/>
              </w:rPr>
            </w:pPr>
            <w:r w:rsidRPr="008A44C5">
              <w:rPr>
                <w:rFonts w:eastAsia="Arial" w:cstheme="minorHAnsi"/>
                <w:i/>
                <w:sz w:val="24"/>
                <w:szCs w:val="24"/>
              </w:rPr>
              <w:t xml:space="preserve">Note, </w:t>
            </w:r>
            <w:proofErr w:type="spellStart"/>
            <w:r w:rsidRPr="008A44C5">
              <w:rPr>
                <w:rFonts w:eastAsia="Arial" w:cstheme="minorHAnsi"/>
                <w:i/>
                <w:sz w:val="24"/>
                <w:szCs w:val="24"/>
              </w:rPr>
              <w:t>sotrovimab</w:t>
            </w:r>
            <w:proofErr w:type="spellEnd"/>
            <w:r w:rsidRPr="008A44C5">
              <w:rPr>
                <w:rFonts w:eastAsia="Arial" w:cstheme="minorHAnsi"/>
                <w:i/>
                <w:sz w:val="24"/>
                <w:szCs w:val="24"/>
              </w:rPr>
              <w:t xml:space="preserve"> contains polysorbate 80, which has been associated with severe nonimmunologic anaphylactoid reactions.</w:t>
            </w:r>
          </w:p>
        </w:tc>
        <w:tc>
          <w:tcPr>
            <w:tcW w:w="2087" w:type="dxa"/>
          </w:tcPr>
          <w:p w14:paraId="5A6F7D05" w14:textId="77777777" w:rsidR="008A44C5" w:rsidRPr="008A44C5" w:rsidRDefault="008A44C5" w:rsidP="008A44C5">
            <w:pPr>
              <w:rPr>
                <w:rFonts w:cs="Arial"/>
                <w:sz w:val="21"/>
                <w:szCs w:val="21"/>
              </w:rPr>
            </w:pPr>
            <w:r w:rsidRPr="008A44C5">
              <w:rPr>
                <w:b/>
                <w:sz w:val="18"/>
                <w:szCs w:val="16"/>
              </w:rPr>
              <w:t xml:space="preserve"> </w:t>
            </w:r>
            <w:r w:rsidRPr="008A44C5">
              <w:rPr>
                <w:rFonts w:ascii="Calibri" w:eastAsia="Times New Roman" w:hAnsi="Calibri" w:cs="Times New Roman"/>
                <w:lang w:eastAsia="en-GB"/>
              </w:rPr>
              <w:fldChar w:fldCharType="begin">
                <w:ffData>
                  <w:name w:val="Text25"/>
                  <w:enabled/>
                  <w:calcOnExit w:val="0"/>
                  <w:textInput/>
                </w:ffData>
              </w:fldChar>
            </w:r>
            <w:r w:rsidRPr="008A44C5">
              <w:rPr>
                <w:rFonts w:ascii="Calibri" w:eastAsia="Times New Roman" w:hAnsi="Calibri" w:cs="Times New Roman"/>
                <w:lang w:eastAsia="en-GB"/>
              </w:rPr>
              <w:instrText xml:space="preserve"> FORMTEXT </w:instrText>
            </w:r>
            <w:r w:rsidRPr="008A44C5">
              <w:rPr>
                <w:rFonts w:ascii="Calibri" w:eastAsia="Times New Roman" w:hAnsi="Calibri" w:cs="Times New Roman"/>
                <w:lang w:eastAsia="en-GB"/>
              </w:rPr>
            </w:r>
            <w:r w:rsidRPr="008A44C5">
              <w:rPr>
                <w:rFonts w:ascii="Calibri" w:eastAsia="Times New Roman" w:hAnsi="Calibri" w:cs="Times New Roman"/>
                <w:lang w:eastAsia="en-GB"/>
              </w:rPr>
              <w:fldChar w:fldCharType="separate"/>
            </w:r>
            <w:r w:rsidRPr="008A44C5">
              <w:rPr>
                <w:rFonts w:ascii="Calibri" w:eastAsia="Times New Roman" w:hAnsi="Calibri" w:cs="Times New Roman"/>
                <w:noProof/>
                <w:lang w:eastAsia="en-GB"/>
              </w:rPr>
              <w:t> </w:t>
            </w:r>
            <w:r w:rsidRPr="008A44C5">
              <w:rPr>
                <w:rFonts w:ascii="Calibri" w:eastAsia="Times New Roman" w:hAnsi="Calibri" w:cs="Times New Roman"/>
                <w:noProof/>
                <w:lang w:eastAsia="en-GB"/>
              </w:rPr>
              <w:t> </w:t>
            </w:r>
            <w:r w:rsidRPr="008A44C5">
              <w:rPr>
                <w:rFonts w:ascii="Calibri" w:eastAsia="Times New Roman" w:hAnsi="Calibri" w:cs="Times New Roman"/>
                <w:noProof/>
                <w:lang w:eastAsia="en-GB"/>
              </w:rPr>
              <w:t> </w:t>
            </w:r>
            <w:r w:rsidRPr="008A44C5">
              <w:rPr>
                <w:rFonts w:ascii="Calibri" w:eastAsia="Times New Roman" w:hAnsi="Calibri" w:cs="Times New Roman"/>
                <w:noProof/>
                <w:lang w:eastAsia="en-GB"/>
              </w:rPr>
              <w:t> </w:t>
            </w:r>
            <w:r w:rsidRPr="008A44C5">
              <w:rPr>
                <w:rFonts w:ascii="Calibri" w:eastAsia="Times New Roman" w:hAnsi="Calibri" w:cs="Times New Roman"/>
                <w:noProof/>
                <w:lang w:eastAsia="en-GB"/>
              </w:rPr>
              <w:t> </w:t>
            </w:r>
            <w:r w:rsidRPr="008A44C5">
              <w:rPr>
                <w:rFonts w:ascii="Calibri" w:eastAsia="Times New Roman" w:hAnsi="Calibri" w:cs="Times New Roman"/>
                <w:lang w:eastAsia="en-GB"/>
              </w:rPr>
              <w:fldChar w:fldCharType="end"/>
            </w:r>
          </w:p>
        </w:tc>
      </w:tr>
      <w:tr w:rsidR="008A44C5" w:rsidRPr="008A44C5" w14:paraId="5C743F9A" w14:textId="77777777" w:rsidTr="00F2187C">
        <w:tc>
          <w:tcPr>
            <w:tcW w:w="289" w:type="dxa"/>
          </w:tcPr>
          <w:p w14:paraId="0B02D1A6" w14:textId="77777777" w:rsidR="008A44C5" w:rsidRPr="008A44C5" w:rsidRDefault="008A44C5" w:rsidP="008A44C5">
            <w:pPr>
              <w:rPr>
                <w:rFonts w:eastAsia="Arial" w:cs="Arial"/>
                <w:sz w:val="21"/>
                <w:szCs w:val="21"/>
              </w:rPr>
            </w:pPr>
          </w:p>
        </w:tc>
        <w:tc>
          <w:tcPr>
            <w:tcW w:w="8080" w:type="dxa"/>
          </w:tcPr>
          <w:p w14:paraId="063195C4" w14:textId="77777777" w:rsidR="008A44C5" w:rsidRPr="008A44C5" w:rsidRDefault="008A44C5" w:rsidP="008A44C5">
            <w:pPr>
              <w:rPr>
                <w:rFonts w:eastAsia="Arial" w:cstheme="minorHAnsi"/>
                <w:sz w:val="24"/>
                <w:szCs w:val="24"/>
              </w:rPr>
            </w:pPr>
            <w:r w:rsidRPr="008A44C5">
              <w:rPr>
                <w:rFonts w:eastAsia="Arial" w:cstheme="minorHAnsi"/>
                <w:sz w:val="24"/>
                <w:szCs w:val="24"/>
              </w:rPr>
              <w:t xml:space="preserve">Check for swallowing difficulties in view of the large </w:t>
            </w:r>
            <w:proofErr w:type="spellStart"/>
            <w:r w:rsidRPr="008A44C5">
              <w:rPr>
                <w:rFonts w:eastAsia="Arial" w:cstheme="minorHAnsi"/>
                <w:sz w:val="24"/>
                <w:szCs w:val="24"/>
              </w:rPr>
              <w:t>molnupiravir</w:t>
            </w:r>
            <w:proofErr w:type="spellEnd"/>
            <w:r w:rsidRPr="008A44C5">
              <w:rPr>
                <w:rFonts w:eastAsia="Arial" w:cstheme="minorHAnsi"/>
                <w:sz w:val="24"/>
                <w:szCs w:val="24"/>
              </w:rPr>
              <w:t xml:space="preserve"> capsule size</w:t>
            </w:r>
          </w:p>
        </w:tc>
        <w:tc>
          <w:tcPr>
            <w:tcW w:w="2087" w:type="dxa"/>
          </w:tcPr>
          <w:p w14:paraId="374B3D1C" w14:textId="77777777" w:rsidR="008A44C5" w:rsidRPr="008A44C5" w:rsidRDefault="008A44C5" w:rsidP="008A44C5">
            <w:pPr>
              <w:rPr>
                <w:rFonts w:cs="Arial"/>
                <w:sz w:val="21"/>
                <w:szCs w:val="21"/>
              </w:rPr>
            </w:pPr>
            <w:r w:rsidRPr="008A44C5">
              <w:rPr>
                <w:b/>
                <w:sz w:val="18"/>
                <w:szCs w:val="16"/>
              </w:rPr>
              <w:t xml:space="preserve"> </w:t>
            </w:r>
            <w:r w:rsidRPr="008A44C5">
              <w:rPr>
                <w:b/>
                <w:sz w:val="18"/>
                <w:szCs w:val="16"/>
              </w:rPr>
              <w:fldChar w:fldCharType="begin">
                <w:ffData>
                  <w:name w:val=""/>
                  <w:enabled/>
                  <w:calcOnExit w:val="0"/>
                  <w:checkBox>
                    <w:sizeAuto/>
                    <w:default w:val="0"/>
                  </w:checkBox>
                </w:ffData>
              </w:fldChar>
            </w:r>
            <w:r w:rsidRPr="008A44C5">
              <w:rPr>
                <w:b/>
                <w:sz w:val="18"/>
                <w:szCs w:val="16"/>
              </w:rPr>
              <w:instrText xml:space="preserve"> FORMCHECKBOX </w:instrText>
            </w:r>
            <w:r w:rsidR="00EB2A09">
              <w:rPr>
                <w:b/>
                <w:sz w:val="18"/>
                <w:szCs w:val="16"/>
              </w:rPr>
            </w:r>
            <w:r w:rsidR="00EB2A09">
              <w:rPr>
                <w:b/>
                <w:sz w:val="18"/>
                <w:szCs w:val="16"/>
              </w:rPr>
              <w:fldChar w:fldCharType="separate"/>
            </w:r>
            <w:r w:rsidRPr="008A44C5">
              <w:rPr>
                <w:b/>
                <w:sz w:val="18"/>
                <w:szCs w:val="16"/>
              </w:rPr>
              <w:fldChar w:fldCharType="end"/>
            </w:r>
          </w:p>
        </w:tc>
      </w:tr>
      <w:tr w:rsidR="008A44C5" w:rsidRPr="008A44C5" w14:paraId="71BC5BF0" w14:textId="77777777" w:rsidTr="00F2187C">
        <w:tc>
          <w:tcPr>
            <w:tcW w:w="289" w:type="dxa"/>
          </w:tcPr>
          <w:p w14:paraId="72B8E77C" w14:textId="77777777" w:rsidR="008A44C5" w:rsidRPr="008A44C5" w:rsidRDefault="008A44C5" w:rsidP="008A44C5">
            <w:pPr>
              <w:rPr>
                <w:rFonts w:cs="Arial"/>
                <w:sz w:val="21"/>
                <w:szCs w:val="21"/>
              </w:rPr>
            </w:pPr>
          </w:p>
        </w:tc>
        <w:tc>
          <w:tcPr>
            <w:tcW w:w="8080" w:type="dxa"/>
          </w:tcPr>
          <w:p w14:paraId="3A957982" w14:textId="654ADB66" w:rsidR="008A44C5" w:rsidRPr="008A44C5" w:rsidRDefault="008A44C5" w:rsidP="008A44C5">
            <w:pPr>
              <w:rPr>
                <w:rFonts w:cstheme="minorHAnsi"/>
                <w:sz w:val="24"/>
                <w:szCs w:val="24"/>
              </w:rPr>
            </w:pPr>
            <w:r w:rsidRPr="008A44C5">
              <w:rPr>
                <w:rFonts w:cstheme="minorHAnsi"/>
                <w:sz w:val="24"/>
                <w:szCs w:val="24"/>
              </w:rPr>
              <w:t xml:space="preserve">Can the patient travel to the CMDU safely? </w:t>
            </w:r>
            <w:r w:rsidR="00117623">
              <w:rPr>
                <w:rFonts w:cstheme="minorHAnsi"/>
                <w:sz w:val="24"/>
                <w:szCs w:val="24"/>
              </w:rPr>
              <w:t>i</w:t>
            </w:r>
            <w:r w:rsidR="00117623" w:rsidRPr="008A44C5">
              <w:rPr>
                <w:rFonts w:cstheme="minorHAnsi"/>
                <w:sz w:val="24"/>
                <w:szCs w:val="24"/>
              </w:rPr>
              <w:t>.e.,</w:t>
            </w:r>
            <w:r w:rsidRPr="008A44C5">
              <w:rPr>
                <w:rFonts w:cstheme="minorHAnsi"/>
                <w:sz w:val="24"/>
                <w:szCs w:val="24"/>
              </w:rPr>
              <w:t xml:space="preserve"> can they, or a household member drive them to the CMDU?</w:t>
            </w:r>
          </w:p>
          <w:p w14:paraId="136334A4" w14:textId="51313566" w:rsidR="008A44C5" w:rsidRPr="008A44C5" w:rsidRDefault="008A44C5" w:rsidP="008A44C5">
            <w:pPr>
              <w:numPr>
                <w:ilvl w:val="0"/>
                <w:numId w:val="3"/>
              </w:numPr>
              <w:contextualSpacing/>
              <w:rPr>
                <w:rFonts w:cstheme="minorHAnsi"/>
                <w:sz w:val="24"/>
                <w:szCs w:val="24"/>
              </w:rPr>
            </w:pPr>
            <w:r w:rsidRPr="008A44C5">
              <w:rPr>
                <w:rFonts w:cstheme="minorHAnsi"/>
                <w:i/>
                <w:sz w:val="24"/>
                <w:szCs w:val="24"/>
              </w:rPr>
              <w:t xml:space="preserve">If they </w:t>
            </w:r>
            <w:proofErr w:type="gramStart"/>
            <w:r w:rsidRPr="008A44C5">
              <w:rPr>
                <w:rFonts w:cstheme="minorHAnsi"/>
                <w:i/>
                <w:sz w:val="24"/>
                <w:szCs w:val="24"/>
              </w:rPr>
              <w:t>are able to</w:t>
            </w:r>
            <w:proofErr w:type="gramEnd"/>
            <w:r w:rsidRPr="008A44C5">
              <w:rPr>
                <w:rFonts w:cstheme="minorHAnsi"/>
                <w:i/>
                <w:sz w:val="24"/>
                <w:szCs w:val="24"/>
              </w:rPr>
              <w:t xml:space="preserve"> travel, an appointment should be made to attend CMDU within the next the 5-day timeframe</w:t>
            </w:r>
          </w:p>
          <w:p w14:paraId="5FE724D5" w14:textId="77777777" w:rsidR="008A44C5" w:rsidRPr="008A44C5" w:rsidRDefault="008A44C5" w:rsidP="008A44C5">
            <w:pPr>
              <w:numPr>
                <w:ilvl w:val="0"/>
                <w:numId w:val="3"/>
              </w:numPr>
              <w:contextualSpacing/>
              <w:rPr>
                <w:rFonts w:cstheme="minorHAnsi"/>
                <w:sz w:val="24"/>
                <w:szCs w:val="24"/>
              </w:rPr>
            </w:pPr>
            <w:r w:rsidRPr="008A44C5">
              <w:rPr>
                <w:rFonts w:cstheme="minorHAnsi"/>
                <w:i/>
                <w:sz w:val="24"/>
                <w:szCs w:val="24"/>
              </w:rPr>
              <w:t xml:space="preserve">If the patient is unable to travel safely, then they should receive </w:t>
            </w:r>
            <w:proofErr w:type="spellStart"/>
            <w:r w:rsidRPr="008A44C5">
              <w:rPr>
                <w:rFonts w:cstheme="minorHAnsi"/>
                <w:i/>
                <w:sz w:val="24"/>
                <w:szCs w:val="24"/>
              </w:rPr>
              <w:t>molnupiravir</w:t>
            </w:r>
            <w:proofErr w:type="spellEnd"/>
            <w:r w:rsidRPr="008A44C5">
              <w:rPr>
                <w:rFonts w:cstheme="minorHAnsi"/>
                <w:i/>
                <w:sz w:val="24"/>
                <w:szCs w:val="24"/>
              </w:rPr>
              <w:t>.</w:t>
            </w:r>
          </w:p>
        </w:tc>
        <w:tc>
          <w:tcPr>
            <w:tcW w:w="2087" w:type="dxa"/>
          </w:tcPr>
          <w:p w14:paraId="417CF47E" w14:textId="77777777" w:rsidR="008A44C5" w:rsidRPr="008A44C5" w:rsidRDefault="008A44C5" w:rsidP="008A44C5">
            <w:pPr>
              <w:rPr>
                <w:rFonts w:cs="Arial"/>
                <w:sz w:val="21"/>
                <w:szCs w:val="21"/>
              </w:rPr>
            </w:pPr>
            <w:r w:rsidRPr="008A44C5">
              <w:rPr>
                <w:b/>
                <w:sz w:val="18"/>
                <w:szCs w:val="16"/>
              </w:rPr>
              <w:t xml:space="preserve"> </w:t>
            </w:r>
            <w:r w:rsidRPr="008A44C5">
              <w:rPr>
                <w:b/>
                <w:sz w:val="18"/>
                <w:szCs w:val="16"/>
              </w:rPr>
              <w:fldChar w:fldCharType="begin">
                <w:ffData>
                  <w:name w:val=""/>
                  <w:enabled/>
                  <w:calcOnExit w:val="0"/>
                  <w:checkBox>
                    <w:sizeAuto/>
                    <w:default w:val="0"/>
                  </w:checkBox>
                </w:ffData>
              </w:fldChar>
            </w:r>
            <w:r w:rsidRPr="008A44C5">
              <w:rPr>
                <w:b/>
                <w:sz w:val="18"/>
                <w:szCs w:val="16"/>
              </w:rPr>
              <w:instrText xml:space="preserve"> FORMCHECKBOX </w:instrText>
            </w:r>
            <w:r w:rsidR="00EB2A09">
              <w:rPr>
                <w:b/>
                <w:sz w:val="18"/>
                <w:szCs w:val="16"/>
              </w:rPr>
            </w:r>
            <w:r w:rsidR="00EB2A09">
              <w:rPr>
                <w:b/>
                <w:sz w:val="18"/>
                <w:szCs w:val="16"/>
              </w:rPr>
              <w:fldChar w:fldCharType="separate"/>
            </w:r>
            <w:r w:rsidRPr="008A44C5">
              <w:rPr>
                <w:b/>
                <w:sz w:val="18"/>
                <w:szCs w:val="16"/>
              </w:rPr>
              <w:fldChar w:fldCharType="end"/>
            </w:r>
          </w:p>
        </w:tc>
      </w:tr>
      <w:tr w:rsidR="008A44C5" w:rsidRPr="008A44C5" w14:paraId="16D8CA98" w14:textId="77777777" w:rsidTr="00F2187C">
        <w:trPr>
          <w:cantSplit/>
          <w:trHeight w:val="1134"/>
        </w:trPr>
        <w:tc>
          <w:tcPr>
            <w:tcW w:w="289" w:type="dxa"/>
            <w:shd w:val="clear" w:color="auto" w:fill="A6A6A6" w:themeFill="background1" w:themeFillShade="A6"/>
            <w:textDirection w:val="btLr"/>
            <w:vAlign w:val="center"/>
          </w:tcPr>
          <w:p w14:paraId="6220020B" w14:textId="77777777" w:rsidR="008A44C5" w:rsidRPr="008A44C5" w:rsidRDefault="008A44C5" w:rsidP="008A44C5">
            <w:pPr>
              <w:ind w:left="113" w:right="113"/>
              <w:jc w:val="center"/>
              <w:rPr>
                <w:rFonts w:cs="Arial"/>
                <w:sz w:val="16"/>
                <w:szCs w:val="21"/>
              </w:rPr>
            </w:pPr>
            <w:proofErr w:type="spellStart"/>
            <w:r w:rsidRPr="008A44C5">
              <w:rPr>
                <w:rFonts w:cs="Arial"/>
                <w:b/>
                <w:sz w:val="16"/>
                <w:szCs w:val="21"/>
              </w:rPr>
              <w:t>Blueteq</w:t>
            </w:r>
            <w:proofErr w:type="spellEnd"/>
            <w:r w:rsidRPr="008A44C5">
              <w:rPr>
                <w:rFonts w:cs="Arial"/>
                <w:b/>
                <w:sz w:val="16"/>
                <w:szCs w:val="21"/>
              </w:rPr>
              <w:t xml:space="preserve"> Question</w:t>
            </w:r>
          </w:p>
        </w:tc>
        <w:tc>
          <w:tcPr>
            <w:tcW w:w="8080" w:type="dxa"/>
          </w:tcPr>
          <w:p w14:paraId="00FB4394" w14:textId="77777777" w:rsidR="008A44C5" w:rsidRPr="008A44C5" w:rsidRDefault="008A44C5" w:rsidP="008A44C5">
            <w:pPr>
              <w:rPr>
                <w:rFonts w:cstheme="minorHAnsi"/>
                <w:sz w:val="24"/>
                <w:szCs w:val="24"/>
              </w:rPr>
            </w:pPr>
            <w:r w:rsidRPr="008A44C5">
              <w:rPr>
                <w:rFonts w:cstheme="minorHAnsi"/>
                <w:sz w:val="24"/>
                <w:szCs w:val="24"/>
              </w:rPr>
              <w:t xml:space="preserve">Could you be or are you planning to become pregnant </w:t>
            </w:r>
            <w:proofErr w:type="gramStart"/>
            <w:r w:rsidRPr="008A44C5">
              <w:rPr>
                <w:rFonts w:cstheme="minorHAnsi"/>
                <w:sz w:val="24"/>
                <w:szCs w:val="24"/>
              </w:rPr>
              <w:t>in the near future</w:t>
            </w:r>
            <w:proofErr w:type="gramEnd"/>
            <w:r w:rsidRPr="008A44C5">
              <w:rPr>
                <w:rFonts w:cstheme="minorHAnsi"/>
                <w:sz w:val="24"/>
                <w:szCs w:val="24"/>
              </w:rPr>
              <w:t xml:space="preserve">? </w:t>
            </w:r>
          </w:p>
          <w:p w14:paraId="425C479A" w14:textId="77777777" w:rsidR="008A44C5" w:rsidRPr="008A44C5" w:rsidRDefault="008A44C5" w:rsidP="008A44C5">
            <w:pPr>
              <w:numPr>
                <w:ilvl w:val="0"/>
                <w:numId w:val="1"/>
              </w:numPr>
              <w:contextualSpacing/>
              <w:rPr>
                <w:rFonts w:cstheme="minorHAnsi"/>
                <w:i/>
                <w:sz w:val="24"/>
                <w:szCs w:val="24"/>
              </w:rPr>
            </w:pPr>
            <w:proofErr w:type="spellStart"/>
            <w:r w:rsidRPr="008A44C5">
              <w:rPr>
                <w:rFonts w:cstheme="minorHAnsi"/>
                <w:i/>
                <w:sz w:val="24"/>
                <w:szCs w:val="24"/>
              </w:rPr>
              <w:t>Sotrovimab</w:t>
            </w:r>
            <w:proofErr w:type="spellEnd"/>
            <w:r w:rsidRPr="008A44C5">
              <w:rPr>
                <w:rFonts w:cstheme="minorHAnsi"/>
                <w:i/>
                <w:sz w:val="24"/>
                <w:szCs w:val="24"/>
              </w:rPr>
              <w:t>: If patient is pregnant, consider risk assessment with the patient’s obstetrician and specialist team that the patient is under regarding the risks and benefits of treatment. If a patient could be pregnant, advise they will need pregnancy test prior to administration.</w:t>
            </w:r>
          </w:p>
          <w:p w14:paraId="6933B9AF" w14:textId="77777777" w:rsidR="008A44C5" w:rsidRPr="008A44C5" w:rsidRDefault="008A44C5" w:rsidP="008A44C5">
            <w:pPr>
              <w:numPr>
                <w:ilvl w:val="0"/>
                <w:numId w:val="1"/>
              </w:numPr>
              <w:contextualSpacing/>
              <w:rPr>
                <w:rFonts w:cstheme="minorHAnsi"/>
                <w:sz w:val="24"/>
                <w:szCs w:val="24"/>
              </w:rPr>
            </w:pPr>
            <w:proofErr w:type="spellStart"/>
            <w:r w:rsidRPr="008A44C5">
              <w:rPr>
                <w:rFonts w:cstheme="minorHAnsi"/>
                <w:i/>
                <w:sz w:val="24"/>
                <w:szCs w:val="24"/>
              </w:rPr>
              <w:t>Molnupiravir</w:t>
            </w:r>
            <w:proofErr w:type="spellEnd"/>
            <w:r w:rsidRPr="008A44C5">
              <w:rPr>
                <w:rFonts w:cstheme="minorHAnsi"/>
                <w:i/>
                <w:sz w:val="24"/>
                <w:szCs w:val="24"/>
              </w:rPr>
              <w:t xml:space="preserve">: </w:t>
            </w:r>
            <w:r w:rsidRPr="008A44C5">
              <w:rPr>
                <w:rFonts w:cstheme="minorHAnsi"/>
                <w:b/>
                <w:i/>
                <w:sz w:val="24"/>
                <w:szCs w:val="24"/>
                <w:u w:val="single"/>
              </w:rPr>
              <w:t>Do not use during pregnancy</w:t>
            </w:r>
            <w:r w:rsidRPr="008A44C5">
              <w:rPr>
                <w:rFonts w:cstheme="minorHAnsi"/>
                <w:i/>
                <w:sz w:val="24"/>
                <w:szCs w:val="24"/>
              </w:rPr>
              <w:t>. If a patient could be pregnant, advise they will need pregnancy test prior to administration. Patients of childbearing potential and their partners must be informed that they will need to use a barrier method of contraception during and for four days after completing treatment.</w:t>
            </w:r>
          </w:p>
        </w:tc>
        <w:tc>
          <w:tcPr>
            <w:tcW w:w="2087" w:type="dxa"/>
          </w:tcPr>
          <w:p w14:paraId="0067529C" w14:textId="77777777" w:rsidR="008A44C5" w:rsidRPr="008A44C5" w:rsidRDefault="008A44C5" w:rsidP="008A44C5">
            <w:pPr>
              <w:rPr>
                <w:rFonts w:cs="Arial"/>
                <w:sz w:val="21"/>
                <w:szCs w:val="21"/>
              </w:rPr>
            </w:pPr>
            <w:r w:rsidRPr="008A44C5">
              <w:rPr>
                <w:rFonts w:cs="Arial"/>
                <w:sz w:val="21"/>
                <w:szCs w:val="21"/>
              </w:rPr>
              <w:t xml:space="preserve"> </w:t>
            </w:r>
            <w:r w:rsidRPr="008A44C5">
              <w:rPr>
                <w:rFonts w:ascii="Calibri" w:eastAsia="Times New Roman" w:hAnsi="Calibri" w:cs="Times New Roman"/>
                <w:lang w:eastAsia="en-GB"/>
              </w:rPr>
              <w:fldChar w:fldCharType="begin">
                <w:ffData>
                  <w:name w:val="Text25"/>
                  <w:enabled/>
                  <w:calcOnExit w:val="0"/>
                  <w:textInput/>
                </w:ffData>
              </w:fldChar>
            </w:r>
            <w:r w:rsidRPr="008A44C5">
              <w:rPr>
                <w:rFonts w:ascii="Calibri" w:eastAsia="Times New Roman" w:hAnsi="Calibri" w:cs="Times New Roman"/>
                <w:lang w:eastAsia="en-GB"/>
              </w:rPr>
              <w:instrText xml:space="preserve"> FORMTEXT </w:instrText>
            </w:r>
            <w:r w:rsidRPr="008A44C5">
              <w:rPr>
                <w:rFonts w:ascii="Calibri" w:eastAsia="Times New Roman" w:hAnsi="Calibri" w:cs="Times New Roman"/>
                <w:lang w:eastAsia="en-GB"/>
              </w:rPr>
            </w:r>
            <w:r w:rsidRPr="008A44C5">
              <w:rPr>
                <w:rFonts w:ascii="Calibri" w:eastAsia="Times New Roman" w:hAnsi="Calibri" w:cs="Times New Roman"/>
                <w:lang w:eastAsia="en-GB"/>
              </w:rPr>
              <w:fldChar w:fldCharType="separate"/>
            </w:r>
            <w:r w:rsidRPr="008A44C5">
              <w:rPr>
                <w:rFonts w:ascii="Calibri" w:eastAsia="Times New Roman" w:hAnsi="Calibri" w:cs="Times New Roman"/>
                <w:noProof/>
                <w:lang w:eastAsia="en-GB"/>
              </w:rPr>
              <w:t> </w:t>
            </w:r>
            <w:r w:rsidRPr="008A44C5">
              <w:rPr>
                <w:rFonts w:ascii="Calibri" w:eastAsia="Times New Roman" w:hAnsi="Calibri" w:cs="Times New Roman"/>
                <w:noProof/>
                <w:lang w:eastAsia="en-GB"/>
              </w:rPr>
              <w:t> </w:t>
            </w:r>
            <w:r w:rsidRPr="008A44C5">
              <w:rPr>
                <w:rFonts w:ascii="Calibri" w:eastAsia="Times New Roman" w:hAnsi="Calibri" w:cs="Times New Roman"/>
                <w:noProof/>
                <w:lang w:eastAsia="en-GB"/>
              </w:rPr>
              <w:t> </w:t>
            </w:r>
            <w:r w:rsidRPr="008A44C5">
              <w:rPr>
                <w:rFonts w:ascii="Calibri" w:eastAsia="Times New Roman" w:hAnsi="Calibri" w:cs="Times New Roman"/>
                <w:noProof/>
                <w:lang w:eastAsia="en-GB"/>
              </w:rPr>
              <w:t> </w:t>
            </w:r>
            <w:r w:rsidRPr="008A44C5">
              <w:rPr>
                <w:rFonts w:ascii="Calibri" w:eastAsia="Times New Roman" w:hAnsi="Calibri" w:cs="Times New Roman"/>
                <w:noProof/>
                <w:lang w:eastAsia="en-GB"/>
              </w:rPr>
              <w:t> </w:t>
            </w:r>
            <w:r w:rsidRPr="008A44C5">
              <w:rPr>
                <w:rFonts w:ascii="Calibri" w:eastAsia="Times New Roman" w:hAnsi="Calibri" w:cs="Times New Roman"/>
                <w:lang w:eastAsia="en-GB"/>
              </w:rPr>
              <w:fldChar w:fldCharType="end"/>
            </w:r>
          </w:p>
        </w:tc>
      </w:tr>
      <w:tr w:rsidR="008A44C5" w:rsidRPr="008A44C5" w14:paraId="11E70704" w14:textId="77777777" w:rsidTr="00F2187C">
        <w:tc>
          <w:tcPr>
            <w:tcW w:w="289" w:type="dxa"/>
          </w:tcPr>
          <w:p w14:paraId="15E0EB3C" w14:textId="77777777" w:rsidR="008A44C5" w:rsidRPr="008A44C5" w:rsidRDefault="008A44C5" w:rsidP="008A44C5">
            <w:pPr>
              <w:rPr>
                <w:rFonts w:cs="Arial"/>
                <w:sz w:val="21"/>
                <w:szCs w:val="21"/>
              </w:rPr>
            </w:pPr>
          </w:p>
        </w:tc>
        <w:tc>
          <w:tcPr>
            <w:tcW w:w="8080" w:type="dxa"/>
          </w:tcPr>
          <w:p w14:paraId="70AD1F9D" w14:textId="77777777" w:rsidR="008A44C5" w:rsidRPr="008A44C5" w:rsidRDefault="008A44C5" w:rsidP="008A44C5">
            <w:pPr>
              <w:rPr>
                <w:rFonts w:cstheme="minorHAnsi"/>
                <w:sz w:val="24"/>
                <w:szCs w:val="24"/>
              </w:rPr>
            </w:pPr>
            <w:r w:rsidRPr="008A44C5">
              <w:rPr>
                <w:rFonts w:cstheme="minorHAnsi"/>
                <w:sz w:val="24"/>
                <w:szCs w:val="24"/>
              </w:rPr>
              <w:t xml:space="preserve">Are you breastfeeding? </w:t>
            </w:r>
          </w:p>
          <w:p w14:paraId="3CA2AC9F" w14:textId="77777777" w:rsidR="008A44C5" w:rsidRPr="008A44C5" w:rsidRDefault="008A44C5" w:rsidP="008A44C5">
            <w:pPr>
              <w:numPr>
                <w:ilvl w:val="0"/>
                <w:numId w:val="2"/>
              </w:numPr>
              <w:contextualSpacing/>
              <w:rPr>
                <w:rFonts w:cstheme="minorHAnsi"/>
                <w:i/>
                <w:sz w:val="24"/>
                <w:szCs w:val="24"/>
              </w:rPr>
            </w:pPr>
            <w:proofErr w:type="spellStart"/>
            <w:r w:rsidRPr="008A44C5">
              <w:rPr>
                <w:rFonts w:cstheme="minorHAnsi"/>
                <w:i/>
                <w:sz w:val="24"/>
                <w:szCs w:val="24"/>
              </w:rPr>
              <w:t>Sotrovimab</w:t>
            </w:r>
            <w:proofErr w:type="spellEnd"/>
            <w:r w:rsidRPr="008A44C5">
              <w:rPr>
                <w:rFonts w:cstheme="minorHAnsi"/>
                <w:i/>
                <w:sz w:val="24"/>
                <w:szCs w:val="24"/>
              </w:rPr>
              <w:t xml:space="preserve">: a risk assessment will need to be made with the patient’s home team regarding the risks and benefits of continuing breastfeeding after treatment with </w:t>
            </w:r>
            <w:proofErr w:type="spellStart"/>
            <w:r w:rsidRPr="008A44C5">
              <w:rPr>
                <w:rFonts w:cstheme="minorHAnsi"/>
                <w:i/>
                <w:sz w:val="24"/>
                <w:szCs w:val="24"/>
              </w:rPr>
              <w:t>sotrovimab</w:t>
            </w:r>
            <w:proofErr w:type="spellEnd"/>
            <w:r w:rsidRPr="008A44C5">
              <w:rPr>
                <w:rFonts w:cstheme="minorHAnsi"/>
                <w:i/>
                <w:sz w:val="24"/>
                <w:szCs w:val="24"/>
              </w:rPr>
              <w:t>.</w:t>
            </w:r>
          </w:p>
          <w:p w14:paraId="47C5330B" w14:textId="77777777" w:rsidR="008A44C5" w:rsidRPr="008A44C5" w:rsidRDefault="008A44C5" w:rsidP="008A44C5">
            <w:pPr>
              <w:numPr>
                <w:ilvl w:val="0"/>
                <w:numId w:val="2"/>
              </w:numPr>
              <w:contextualSpacing/>
              <w:rPr>
                <w:rFonts w:cstheme="minorHAnsi"/>
                <w:sz w:val="24"/>
                <w:szCs w:val="24"/>
              </w:rPr>
            </w:pPr>
            <w:proofErr w:type="spellStart"/>
            <w:r w:rsidRPr="008A44C5">
              <w:rPr>
                <w:rFonts w:cstheme="minorHAnsi"/>
                <w:i/>
                <w:sz w:val="24"/>
                <w:szCs w:val="24"/>
              </w:rPr>
              <w:t>Molnupiravir</w:t>
            </w:r>
            <w:proofErr w:type="spellEnd"/>
            <w:r w:rsidRPr="008A44C5">
              <w:rPr>
                <w:rFonts w:cstheme="minorHAnsi"/>
                <w:i/>
                <w:sz w:val="24"/>
                <w:szCs w:val="24"/>
              </w:rPr>
              <w:t>: patients should be advised to stop breastfeeding during and for four days after completing treatment.</w:t>
            </w:r>
          </w:p>
        </w:tc>
        <w:tc>
          <w:tcPr>
            <w:tcW w:w="2087" w:type="dxa"/>
          </w:tcPr>
          <w:p w14:paraId="7343FA52" w14:textId="77777777" w:rsidR="008A44C5" w:rsidRPr="008A44C5" w:rsidRDefault="008A44C5" w:rsidP="008A44C5">
            <w:pPr>
              <w:rPr>
                <w:rFonts w:cs="Arial"/>
                <w:sz w:val="21"/>
                <w:szCs w:val="21"/>
              </w:rPr>
            </w:pPr>
            <w:r w:rsidRPr="008A44C5">
              <w:rPr>
                <w:rFonts w:ascii="Calibri" w:eastAsia="Times New Roman" w:hAnsi="Calibri" w:cs="Times New Roman"/>
                <w:lang w:eastAsia="en-GB"/>
              </w:rPr>
              <w:fldChar w:fldCharType="begin">
                <w:ffData>
                  <w:name w:val="Text25"/>
                  <w:enabled/>
                  <w:calcOnExit w:val="0"/>
                  <w:textInput/>
                </w:ffData>
              </w:fldChar>
            </w:r>
            <w:r w:rsidRPr="008A44C5">
              <w:rPr>
                <w:rFonts w:ascii="Calibri" w:eastAsia="Times New Roman" w:hAnsi="Calibri" w:cs="Times New Roman"/>
                <w:lang w:eastAsia="en-GB"/>
              </w:rPr>
              <w:instrText xml:space="preserve"> FORMTEXT </w:instrText>
            </w:r>
            <w:r w:rsidRPr="008A44C5">
              <w:rPr>
                <w:rFonts w:ascii="Calibri" w:eastAsia="Times New Roman" w:hAnsi="Calibri" w:cs="Times New Roman"/>
                <w:lang w:eastAsia="en-GB"/>
              </w:rPr>
            </w:r>
            <w:r w:rsidRPr="008A44C5">
              <w:rPr>
                <w:rFonts w:ascii="Calibri" w:eastAsia="Times New Roman" w:hAnsi="Calibri" w:cs="Times New Roman"/>
                <w:lang w:eastAsia="en-GB"/>
              </w:rPr>
              <w:fldChar w:fldCharType="separate"/>
            </w:r>
            <w:r w:rsidRPr="008A44C5">
              <w:rPr>
                <w:rFonts w:ascii="Calibri" w:eastAsia="Times New Roman" w:hAnsi="Calibri" w:cs="Times New Roman"/>
                <w:noProof/>
                <w:lang w:eastAsia="en-GB"/>
              </w:rPr>
              <w:t> </w:t>
            </w:r>
            <w:r w:rsidRPr="008A44C5">
              <w:rPr>
                <w:rFonts w:ascii="Calibri" w:eastAsia="Times New Roman" w:hAnsi="Calibri" w:cs="Times New Roman"/>
                <w:noProof/>
                <w:lang w:eastAsia="en-GB"/>
              </w:rPr>
              <w:t> </w:t>
            </w:r>
            <w:r w:rsidRPr="008A44C5">
              <w:rPr>
                <w:rFonts w:ascii="Calibri" w:eastAsia="Times New Roman" w:hAnsi="Calibri" w:cs="Times New Roman"/>
                <w:noProof/>
                <w:lang w:eastAsia="en-GB"/>
              </w:rPr>
              <w:t> </w:t>
            </w:r>
            <w:r w:rsidRPr="008A44C5">
              <w:rPr>
                <w:rFonts w:ascii="Calibri" w:eastAsia="Times New Roman" w:hAnsi="Calibri" w:cs="Times New Roman"/>
                <w:noProof/>
                <w:lang w:eastAsia="en-GB"/>
              </w:rPr>
              <w:t> </w:t>
            </w:r>
            <w:r w:rsidRPr="008A44C5">
              <w:rPr>
                <w:rFonts w:ascii="Calibri" w:eastAsia="Times New Roman" w:hAnsi="Calibri" w:cs="Times New Roman"/>
                <w:noProof/>
                <w:lang w:eastAsia="en-GB"/>
              </w:rPr>
              <w:t> </w:t>
            </w:r>
            <w:r w:rsidRPr="008A44C5">
              <w:rPr>
                <w:rFonts w:ascii="Calibri" w:eastAsia="Times New Roman" w:hAnsi="Calibri" w:cs="Times New Roman"/>
                <w:lang w:eastAsia="en-GB"/>
              </w:rPr>
              <w:fldChar w:fldCharType="end"/>
            </w:r>
          </w:p>
        </w:tc>
      </w:tr>
    </w:tbl>
    <w:p w14:paraId="6704D53B" w14:textId="77777777" w:rsidR="008A44C5" w:rsidRPr="008A44C5" w:rsidRDefault="008A44C5" w:rsidP="008A44C5">
      <w:pPr>
        <w:spacing w:after="0" w:line="240" w:lineRule="auto"/>
        <w:rPr>
          <w:rFonts w:cstheme="minorHAnsi"/>
          <w:sz w:val="24"/>
          <w:szCs w:val="24"/>
        </w:rPr>
      </w:pPr>
    </w:p>
    <w:p w14:paraId="3F751BCA" w14:textId="77777777" w:rsidR="008A44C5" w:rsidRPr="008A44C5" w:rsidRDefault="008A44C5" w:rsidP="008A44C5">
      <w:pPr>
        <w:tabs>
          <w:tab w:val="center" w:pos="2960"/>
        </w:tabs>
        <w:spacing w:after="0" w:line="240" w:lineRule="auto"/>
        <w:ind w:right="-23"/>
        <w:rPr>
          <w:rFonts w:cstheme="minorHAnsi"/>
          <w:sz w:val="24"/>
          <w:szCs w:val="24"/>
        </w:rPr>
      </w:pPr>
    </w:p>
    <w:p w14:paraId="0AB7E8AE" w14:textId="77777777" w:rsidR="008A44C5" w:rsidRPr="008A44C5" w:rsidRDefault="008A44C5" w:rsidP="008A44C5">
      <w:pPr>
        <w:tabs>
          <w:tab w:val="center" w:pos="2960"/>
        </w:tabs>
        <w:spacing w:after="0" w:line="240" w:lineRule="auto"/>
        <w:ind w:right="-23"/>
        <w:rPr>
          <w:rFonts w:cstheme="minorHAnsi"/>
          <w:sz w:val="24"/>
          <w:szCs w:val="24"/>
        </w:rPr>
      </w:pPr>
    </w:p>
    <w:p w14:paraId="4C661BF3" w14:textId="77777777" w:rsidR="008A44C5" w:rsidRPr="008A44C5" w:rsidRDefault="008A44C5" w:rsidP="008A44C5"/>
    <w:p w14:paraId="66CD8C99" w14:textId="77777777" w:rsidR="008A44C5" w:rsidRDefault="008A44C5"/>
    <w:sectPr w:rsidR="008A44C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AD781" w14:textId="77777777" w:rsidR="008A44C5" w:rsidRDefault="008A44C5" w:rsidP="008A44C5">
      <w:pPr>
        <w:spacing w:after="0" w:line="240" w:lineRule="auto"/>
      </w:pPr>
      <w:r>
        <w:separator/>
      </w:r>
    </w:p>
  </w:endnote>
  <w:endnote w:type="continuationSeparator" w:id="0">
    <w:p w14:paraId="52CD34C5" w14:textId="77777777" w:rsidR="008A44C5" w:rsidRDefault="008A44C5" w:rsidP="008A4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856965"/>
      <w:docPartObj>
        <w:docPartGallery w:val="Page Numbers (Bottom of Page)"/>
        <w:docPartUnique/>
      </w:docPartObj>
    </w:sdtPr>
    <w:sdtEndPr>
      <w:rPr>
        <w:noProof/>
      </w:rPr>
    </w:sdtEndPr>
    <w:sdtContent>
      <w:p w14:paraId="2B275607" w14:textId="14A1414E" w:rsidR="008A44C5" w:rsidRDefault="008A44C5" w:rsidP="008A44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0FCE38" w14:textId="77777777" w:rsidR="008A44C5" w:rsidRDefault="008A4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0D4AD" w14:textId="77777777" w:rsidR="008A44C5" w:rsidRDefault="008A44C5" w:rsidP="008A44C5">
      <w:pPr>
        <w:spacing w:after="0" w:line="240" w:lineRule="auto"/>
      </w:pPr>
      <w:r>
        <w:separator/>
      </w:r>
    </w:p>
  </w:footnote>
  <w:footnote w:type="continuationSeparator" w:id="0">
    <w:p w14:paraId="76C3A5E2" w14:textId="77777777" w:rsidR="008A44C5" w:rsidRDefault="008A44C5" w:rsidP="008A4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62CF3"/>
    <w:multiLevelType w:val="hybridMultilevel"/>
    <w:tmpl w:val="35E88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3333AB"/>
    <w:multiLevelType w:val="hybridMultilevel"/>
    <w:tmpl w:val="C28CF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A3787C"/>
    <w:multiLevelType w:val="hybridMultilevel"/>
    <w:tmpl w:val="1C8ED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446665"/>
    <w:multiLevelType w:val="hybridMultilevel"/>
    <w:tmpl w:val="E8361D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C5"/>
    <w:rsid w:val="00117623"/>
    <w:rsid w:val="00660156"/>
    <w:rsid w:val="00755E01"/>
    <w:rsid w:val="008A44C5"/>
    <w:rsid w:val="00C33DC9"/>
    <w:rsid w:val="00EB2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09EC"/>
  <w15:chartTrackingRefBased/>
  <w15:docId w15:val="{E50470E2-7992-424F-8523-169EAB75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4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4C5"/>
  </w:style>
  <w:style w:type="paragraph" w:styleId="Footer">
    <w:name w:val="footer"/>
    <w:basedOn w:val="Normal"/>
    <w:link w:val="FooterChar"/>
    <w:uiPriority w:val="99"/>
    <w:unhideWhenUsed/>
    <w:rsid w:val="008A4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dcterms:created xsi:type="dcterms:W3CDTF">2021-12-20T14:14:00Z</dcterms:created>
  <dcterms:modified xsi:type="dcterms:W3CDTF">2021-12-20T14:14:00Z</dcterms:modified>
</cp:coreProperties>
</file>